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12B6B" w14:textId="7443EF56" w:rsidR="00605F12" w:rsidRPr="00605F12" w:rsidRDefault="00027543" w:rsidP="00605F12">
      <w:pPr>
        <w:pStyle w:val="Heading1"/>
        <w:rPr>
          <w:rFonts w:ascii="Avenir Book" w:hAnsi="Avenir Book"/>
          <w:sz w:val="32"/>
          <w:szCs w:val="32"/>
          <w:shd w:val="clear" w:color="auto" w:fill="FFFFFF"/>
        </w:rPr>
      </w:pPr>
      <w:r>
        <w:rPr>
          <w:rFonts w:ascii="Avenir Book" w:hAnsi="Avenir Book"/>
          <w:sz w:val="32"/>
          <w:szCs w:val="32"/>
          <w:shd w:val="clear" w:color="auto" w:fill="FFFFFF"/>
        </w:rPr>
        <w:t>Generic payments scheme rulebook categories and example table of contents</w:t>
      </w:r>
    </w:p>
    <w:p w14:paraId="2B57E9A1" w14:textId="77777777" w:rsidR="007501E4" w:rsidRDefault="007501E4" w:rsidP="00027543">
      <w:pPr>
        <w:pStyle w:val="Subtitle"/>
        <w:rPr>
          <w:shd w:val="clear" w:color="auto" w:fill="FFFFFF"/>
        </w:rPr>
      </w:pPr>
    </w:p>
    <w:p w14:paraId="2EE71C38" w14:textId="6643158A" w:rsidR="00392B86" w:rsidRPr="00027543" w:rsidRDefault="0075315B" w:rsidP="00027543">
      <w:pPr>
        <w:pStyle w:val="Subtitle"/>
        <w:rPr>
          <w:rFonts w:ascii="Avenir Book" w:hAnsi="Avenir Book"/>
          <w:shd w:val="clear" w:color="auto" w:fill="FFFFFF"/>
        </w:rPr>
      </w:pPr>
      <w:r>
        <w:rPr>
          <w:rFonts w:ascii="Avenir Book" w:hAnsi="Avenir Book"/>
          <w:shd w:val="clear" w:color="auto" w:fill="FFFFFF"/>
        </w:rPr>
        <w:t xml:space="preserve">GENERIC </w:t>
      </w:r>
      <w:r w:rsidR="00027543" w:rsidRPr="007501E4">
        <w:rPr>
          <w:rFonts w:ascii="Avenir Book" w:hAnsi="Avenir Book"/>
          <w:shd w:val="clear" w:color="auto" w:fill="FFFFFF"/>
        </w:rPr>
        <w:t>SCHEME RULES CATEGORIES</w:t>
      </w:r>
      <w:r w:rsidR="00C057AC" w:rsidRPr="007501E4">
        <w:rPr>
          <w:rFonts w:ascii="Avenir Book" w:hAnsi="Avenir Book"/>
          <w:shd w:val="clear" w:color="auto" w:fill="FFFFFF"/>
        </w:rPr>
        <w:br/>
      </w:r>
      <w:bookmarkStart w:id="0" w:name="_GoBack"/>
      <w:bookmarkEnd w:id="0"/>
      <w:r w:rsidR="00027543">
        <w:rPr>
          <w:shd w:val="clear" w:color="auto" w:fill="FFFFFF"/>
        </w:rPr>
        <w:br/>
      </w:r>
      <w:r w:rsidR="00027543">
        <w:rPr>
          <w:rFonts w:ascii="Avenir Book" w:eastAsia="Times New Roman" w:hAnsi="Avenir Book" w:cs="Times New Roman"/>
          <w:color w:val="222222"/>
          <w:sz w:val="20"/>
          <w:shd w:val="clear" w:color="auto" w:fill="FFFFFF"/>
        </w:rPr>
        <w:t>Scheme rules play a critical role in determining how the payments system functions</w:t>
      </w:r>
      <w:r w:rsidR="00AD08C8">
        <w:rPr>
          <w:rFonts w:ascii="Avenir Book" w:eastAsia="Times New Roman" w:hAnsi="Avenir Book" w:cs="Times New Roman"/>
          <w:color w:val="222222"/>
          <w:sz w:val="20"/>
          <w:shd w:val="clear" w:color="auto" w:fill="FFFFFF"/>
        </w:rPr>
        <w:t>. Key scheme rules categories, include:</w:t>
      </w:r>
    </w:p>
    <w:tbl>
      <w:tblPr>
        <w:tblStyle w:val="PlainTable1"/>
        <w:tblW w:w="10685" w:type="dxa"/>
        <w:jc w:val="right"/>
        <w:tblLook w:val="0420" w:firstRow="1" w:lastRow="0" w:firstColumn="0" w:lastColumn="0" w:noHBand="0" w:noVBand="1"/>
      </w:tblPr>
      <w:tblGrid>
        <w:gridCol w:w="10685"/>
      </w:tblGrid>
      <w:tr w:rsidR="00027543" w:rsidRPr="00B70D5B" w14:paraId="33AEC7C5" w14:textId="77777777" w:rsidTr="00027543">
        <w:trPr>
          <w:cnfStyle w:val="100000000000" w:firstRow="1" w:lastRow="0" w:firstColumn="0" w:lastColumn="0" w:oddVBand="0" w:evenVBand="0" w:oddHBand="0" w:evenHBand="0" w:firstRowFirstColumn="0" w:firstRowLastColumn="0" w:lastRowFirstColumn="0" w:lastRowLastColumn="0"/>
          <w:trHeight w:val="276"/>
          <w:jc w:val="right"/>
        </w:trPr>
        <w:tc>
          <w:tcPr>
            <w:tcW w:w="10685" w:type="dxa"/>
            <w:hideMark/>
          </w:tcPr>
          <w:p w14:paraId="40FC8CB5" w14:textId="77777777" w:rsidR="00027543" w:rsidRPr="00B70D5B" w:rsidRDefault="00027543" w:rsidP="00C02CDB">
            <w:pPr>
              <w:jc w:val="center"/>
              <w:rPr>
                <w:rFonts w:ascii="Avenir" w:hAnsi="Avenir" w:cstheme="minorHAnsi"/>
                <w:sz w:val="21"/>
                <w:szCs w:val="20"/>
              </w:rPr>
            </w:pPr>
            <w:r w:rsidRPr="00B70D5B">
              <w:rPr>
                <w:rFonts w:ascii="Avenir" w:hAnsi="Avenir" w:cstheme="minorHAnsi"/>
                <w:sz w:val="21"/>
                <w:szCs w:val="20"/>
              </w:rPr>
              <w:t>RULES CATEGORIES</w:t>
            </w:r>
          </w:p>
        </w:tc>
      </w:tr>
      <w:tr w:rsidR="00027543" w:rsidRPr="00B70D5B" w14:paraId="58759853" w14:textId="77777777" w:rsidTr="00027543">
        <w:trPr>
          <w:cnfStyle w:val="000000100000" w:firstRow="0" w:lastRow="0" w:firstColumn="0" w:lastColumn="0" w:oddVBand="0" w:evenVBand="0" w:oddHBand="1" w:evenHBand="0" w:firstRowFirstColumn="0" w:firstRowLastColumn="0" w:lastRowFirstColumn="0" w:lastRowLastColumn="0"/>
          <w:trHeight w:val="268"/>
          <w:jc w:val="right"/>
        </w:trPr>
        <w:tc>
          <w:tcPr>
            <w:tcW w:w="10685" w:type="dxa"/>
            <w:hideMark/>
          </w:tcPr>
          <w:p w14:paraId="5332A1CA" w14:textId="77777777" w:rsidR="00027543" w:rsidRPr="00B70D5B" w:rsidRDefault="00027543" w:rsidP="00C02CDB">
            <w:pPr>
              <w:rPr>
                <w:rFonts w:ascii="Avenir" w:hAnsi="Avenir" w:cstheme="minorHAnsi"/>
                <w:sz w:val="21"/>
                <w:szCs w:val="20"/>
              </w:rPr>
            </w:pPr>
            <w:r w:rsidRPr="00B70D5B">
              <w:rPr>
                <w:rFonts w:ascii="Avenir" w:hAnsi="Avenir" w:cstheme="minorHAnsi"/>
                <w:b/>
                <w:bCs/>
                <w:sz w:val="21"/>
                <w:szCs w:val="20"/>
              </w:rPr>
              <w:t xml:space="preserve">Document Information </w:t>
            </w:r>
            <w:r w:rsidRPr="00B70D5B">
              <w:rPr>
                <w:rFonts w:ascii="Avenir" w:hAnsi="Avenir" w:cstheme="minorHAnsi"/>
                <w:sz w:val="21"/>
                <w:szCs w:val="20"/>
              </w:rPr>
              <w:t>introduces the document at large and contextualizes information that follows</w:t>
            </w:r>
          </w:p>
        </w:tc>
      </w:tr>
      <w:tr w:rsidR="00027543" w:rsidRPr="00B70D5B" w14:paraId="63BBC850" w14:textId="77777777" w:rsidTr="00027543">
        <w:trPr>
          <w:trHeight w:val="509"/>
          <w:jc w:val="right"/>
        </w:trPr>
        <w:tc>
          <w:tcPr>
            <w:tcW w:w="10685" w:type="dxa"/>
            <w:hideMark/>
          </w:tcPr>
          <w:p w14:paraId="32618F1B" w14:textId="1C5FBDC6" w:rsidR="00027543" w:rsidRPr="00B70D5B" w:rsidRDefault="00027543" w:rsidP="00C02CDB">
            <w:pPr>
              <w:rPr>
                <w:rFonts w:ascii="Avenir" w:hAnsi="Avenir" w:cstheme="minorHAnsi"/>
                <w:sz w:val="21"/>
                <w:szCs w:val="20"/>
              </w:rPr>
            </w:pPr>
            <w:r w:rsidRPr="00B70D5B">
              <w:rPr>
                <w:rFonts w:ascii="Avenir" w:hAnsi="Avenir" w:cstheme="minorHAnsi"/>
                <w:b/>
                <w:bCs/>
                <w:sz w:val="21"/>
                <w:szCs w:val="20"/>
              </w:rPr>
              <w:t xml:space="preserve">Scheme Objectives </w:t>
            </w:r>
            <w:r w:rsidRPr="00B70D5B">
              <w:rPr>
                <w:rFonts w:ascii="Avenir" w:hAnsi="Avenir" w:cstheme="minorHAnsi"/>
                <w:sz w:val="21"/>
                <w:szCs w:val="20"/>
              </w:rPr>
              <w:t>includes scheme</w:t>
            </w:r>
            <w:r w:rsidR="0075315B">
              <w:rPr>
                <w:rFonts w:ascii="Avenir" w:hAnsi="Avenir" w:cstheme="minorHAnsi"/>
                <w:sz w:val="21"/>
                <w:szCs w:val="20"/>
              </w:rPr>
              <w:t xml:space="preserve"> background</w:t>
            </w:r>
            <w:r w:rsidRPr="00B70D5B">
              <w:rPr>
                <w:rFonts w:ascii="Avenir" w:hAnsi="Avenir" w:cstheme="minorHAnsi"/>
                <w:sz w:val="21"/>
                <w:szCs w:val="20"/>
              </w:rPr>
              <w:t>, a detailed orientation to scheme objectives, use cases supported, and the scope of the scheme (including the scope of scheme rules)</w:t>
            </w:r>
          </w:p>
        </w:tc>
      </w:tr>
      <w:tr w:rsidR="00027543" w:rsidRPr="00B70D5B" w14:paraId="4D28090B" w14:textId="77777777" w:rsidTr="00027543">
        <w:trPr>
          <w:cnfStyle w:val="000000100000" w:firstRow="0" w:lastRow="0" w:firstColumn="0" w:lastColumn="0" w:oddVBand="0" w:evenVBand="0" w:oddHBand="1" w:evenHBand="0" w:firstRowFirstColumn="0" w:firstRowLastColumn="0" w:lastRowFirstColumn="0" w:lastRowLastColumn="0"/>
          <w:trHeight w:val="429"/>
          <w:jc w:val="right"/>
        </w:trPr>
        <w:tc>
          <w:tcPr>
            <w:tcW w:w="10685" w:type="dxa"/>
            <w:hideMark/>
          </w:tcPr>
          <w:p w14:paraId="3600862C" w14:textId="77777777" w:rsidR="00027543" w:rsidRPr="00B70D5B" w:rsidRDefault="00027543" w:rsidP="00C02CDB">
            <w:pPr>
              <w:rPr>
                <w:rFonts w:ascii="Avenir" w:hAnsi="Avenir" w:cstheme="minorHAnsi"/>
                <w:sz w:val="21"/>
                <w:szCs w:val="20"/>
              </w:rPr>
            </w:pPr>
            <w:r w:rsidRPr="00B70D5B">
              <w:rPr>
                <w:rFonts w:ascii="Avenir" w:hAnsi="Avenir" w:cstheme="minorHAnsi"/>
                <w:b/>
                <w:bCs/>
                <w:sz w:val="21"/>
                <w:szCs w:val="20"/>
              </w:rPr>
              <w:t xml:space="preserve">Governance </w:t>
            </w:r>
            <w:r w:rsidRPr="00B70D5B">
              <w:rPr>
                <w:rFonts w:ascii="Avenir" w:hAnsi="Avenir" w:cstheme="minorHAnsi"/>
                <w:sz w:val="21"/>
                <w:szCs w:val="20"/>
              </w:rPr>
              <w:t>articulates relevant governing bodies and regulations; describes the scheme governance model, rule amendment processes and specifications</w:t>
            </w:r>
          </w:p>
        </w:tc>
      </w:tr>
      <w:tr w:rsidR="00027543" w:rsidRPr="00B70D5B" w14:paraId="73A391C7" w14:textId="77777777" w:rsidTr="00027543">
        <w:trPr>
          <w:trHeight w:val="429"/>
          <w:jc w:val="right"/>
        </w:trPr>
        <w:tc>
          <w:tcPr>
            <w:tcW w:w="10685" w:type="dxa"/>
            <w:hideMark/>
          </w:tcPr>
          <w:p w14:paraId="13EFDAA4" w14:textId="113CCE5B" w:rsidR="00027543" w:rsidRPr="00B70D5B" w:rsidRDefault="00027543" w:rsidP="00C02CDB">
            <w:pPr>
              <w:rPr>
                <w:rFonts w:ascii="Avenir" w:hAnsi="Avenir" w:cstheme="minorHAnsi"/>
                <w:sz w:val="21"/>
                <w:szCs w:val="20"/>
              </w:rPr>
            </w:pPr>
            <w:r w:rsidRPr="00B70D5B">
              <w:rPr>
                <w:rFonts w:ascii="Avenir" w:hAnsi="Avenir" w:cstheme="minorHAnsi"/>
                <w:b/>
                <w:bCs/>
                <w:sz w:val="21"/>
                <w:szCs w:val="20"/>
              </w:rPr>
              <w:t>Entities</w:t>
            </w:r>
            <w:r w:rsidRPr="00B70D5B">
              <w:rPr>
                <w:rFonts w:ascii="Avenir" w:hAnsi="Avenir" w:cstheme="minorHAnsi"/>
                <w:sz w:val="21"/>
                <w:szCs w:val="20"/>
              </w:rPr>
              <w:t xml:space="preserve"> introduces key scheme roles and</w:t>
            </w:r>
            <w:r w:rsidR="00D530E7">
              <w:rPr>
                <w:rFonts w:ascii="Avenir" w:hAnsi="Avenir" w:cstheme="minorHAnsi"/>
                <w:sz w:val="21"/>
                <w:szCs w:val="20"/>
              </w:rPr>
              <w:t xml:space="preserve"> </w:t>
            </w:r>
            <w:r w:rsidRPr="00B70D5B">
              <w:rPr>
                <w:rFonts w:ascii="Avenir" w:hAnsi="Avenir" w:cstheme="minorHAnsi"/>
                <w:sz w:val="21"/>
                <w:szCs w:val="20"/>
              </w:rPr>
              <w:t xml:space="preserve">what entities can serve in those roles; </w:t>
            </w:r>
            <w:r w:rsidR="00D530E7" w:rsidRPr="00B70D5B">
              <w:rPr>
                <w:rFonts w:ascii="Avenir" w:hAnsi="Avenir" w:cstheme="minorHAnsi"/>
                <w:sz w:val="21"/>
                <w:szCs w:val="20"/>
              </w:rPr>
              <w:t>de</w:t>
            </w:r>
            <w:r w:rsidR="00D530E7">
              <w:rPr>
                <w:rFonts w:ascii="Avenir" w:hAnsi="Avenir" w:cstheme="minorHAnsi"/>
                <w:sz w:val="21"/>
                <w:szCs w:val="20"/>
              </w:rPr>
              <w:t>fines</w:t>
            </w:r>
            <w:r w:rsidR="00D530E7" w:rsidRPr="00B70D5B">
              <w:rPr>
                <w:rFonts w:ascii="Avenir" w:hAnsi="Avenir" w:cstheme="minorHAnsi"/>
                <w:sz w:val="21"/>
                <w:szCs w:val="20"/>
              </w:rPr>
              <w:t xml:space="preserve"> </w:t>
            </w:r>
            <w:r w:rsidR="00D530E7">
              <w:rPr>
                <w:rFonts w:ascii="Avenir" w:hAnsi="Avenir" w:cstheme="minorHAnsi"/>
                <w:sz w:val="21"/>
                <w:szCs w:val="20"/>
              </w:rPr>
              <w:t>eligibility critiera and application</w:t>
            </w:r>
            <w:r w:rsidR="00D530E7" w:rsidRPr="00B70D5B">
              <w:rPr>
                <w:rFonts w:ascii="Avenir" w:hAnsi="Avenir" w:cstheme="minorHAnsi"/>
                <w:sz w:val="21"/>
                <w:szCs w:val="20"/>
              </w:rPr>
              <w:t xml:space="preserve"> </w:t>
            </w:r>
            <w:r w:rsidRPr="00B70D5B">
              <w:rPr>
                <w:rFonts w:ascii="Avenir" w:hAnsi="Avenir" w:cstheme="minorHAnsi"/>
                <w:sz w:val="21"/>
                <w:szCs w:val="20"/>
              </w:rPr>
              <w:t xml:space="preserve">and </w:t>
            </w:r>
            <w:r w:rsidR="00D530E7">
              <w:rPr>
                <w:rFonts w:ascii="Avenir" w:hAnsi="Avenir" w:cstheme="minorHAnsi"/>
                <w:sz w:val="21"/>
                <w:szCs w:val="20"/>
              </w:rPr>
              <w:t>suspension/termination/withdrawal</w:t>
            </w:r>
            <w:r w:rsidR="00D530E7" w:rsidRPr="00B70D5B">
              <w:rPr>
                <w:rFonts w:ascii="Avenir" w:hAnsi="Avenir" w:cstheme="minorHAnsi"/>
                <w:sz w:val="21"/>
                <w:szCs w:val="20"/>
              </w:rPr>
              <w:t xml:space="preserve"> </w:t>
            </w:r>
            <w:r w:rsidRPr="00B70D5B">
              <w:rPr>
                <w:rFonts w:ascii="Avenir" w:hAnsi="Avenir" w:cstheme="minorHAnsi"/>
                <w:sz w:val="21"/>
                <w:szCs w:val="20"/>
              </w:rPr>
              <w:t xml:space="preserve">processes </w:t>
            </w:r>
            <w:r w:rsidR="00D530E7">
              <w:rPr>
                <w:rFonts w:ascii="Avenir" w:hAnsi="Avenir" w:cstheme="minorHAnsi"/>
                <w:sz w:val="21"/>
                <w:szCs w:val="20"/>
              </w:rPr>
              <w:t>for each</w:t>
            </w:r>
            <w:r w:rsidRPr="00B70D5B">
              <w:rPr>
                <w:rFonts w:ascii="Avenir" w:hAnsi="Avenir" w:cstheme="minorHAnsi"/>
                <w:sz w:val="21"/>
                <w:szCs w:val="20"/>
              </w:rPr>
              <w:t xml:space="preserve"> role</w:t>
            </w:r>
          </w:p>
        </w:tc>
      </w:tr>
      <w:tr w:rsidR="00027543" w:rsidRPr="00B70D5B" w14:paraId="0FC46ECA" w14:textId="77777777" w:rsidTr="00027543">
        <w:trPr>
          <w:cnfStyle w:val="000000100000" w:firstRow="0" w:lastRow="0" w:firstColumn="0" w:lastColumn="0" w:oddVBand="0" w:evenVBand="0" w:oddHBand="1" w:evenHBand="0" w:firstRowFirstColumn="0" w:firstRowLastColumn="0" w:lastRowFirstColumn="0" w:lastRowLastColumn="0"/>
          <w:trHeight w:val="429"/>
          <w:jc w:val="right"/>
        </w:trPr>
        <w:tc>
          <w:tcPr>
            <w:tcW w:w="10685" w:type="dxa"/>
            <w:hideMark/>
          </w:tcPr>
          <w:p w14:paraId="651C7514" w14:textId="77777777" w:rsidR="00027543" w:rsidRPr="00B70D5B" w:rsidRDefault="00027543" w:rsidP="00C02CDB">
            <w:pPr>
              <w:rPr>
                <w:rFonts w:ascii="Avenir" w:hAnsi="Avenir" w:cstheme="minorHAnsi"/>
                <w:sz w:val="21"/>
                <w:szCs w:val="20"/>
              </w:rPr>
            </w:pPr>
            <w:r w:rsidRPr="00B70D5B">
              <w:rPr>
                <w:rFonts w:ascii="Avenir" w:hAnsi="Avenir" w:cstheme="minorHAnsi"/>
                <w:b/>
                <w:bCs/>
                <w:sz w:val="21"/>
                <w:szCs w:val="20"/>
              </w:rPr>
              <w:t xml:space="preserve">Scheme Services </w:t>
            </w:r>
            <w:r w:rsidRPr="00B70D5B">
              <w:rPr>
                <w:rFonts w:ascii="Avenir" w:hAnsi="Avenir" w:cstheme="minorHAnsi"/>
                <w:sz w:val="21"/>
                <w:szCs w:val="20"/>
              </w:rPr>
              <w:t>introduces functions of the scheme, both mandatory and optional; describes each at a high level (each mandatory service should have its own section to follow)</w:t>
            </w:r>
          </w:p>
        </w:tc>
      </w:tr>
      <w:tr w:rsidR="00027543" w:rsidRPr="00B70D5B" w14:paraId="529464E5" w14:textId="77777777" w:rsidTr="00027543">
        <w:trPr>
          <w:trHeight w:val="349"/>
          <w:jc w:val="right"/>
        </w:trPr>
        <w:tc>
          <w:tcPr>
            <w:tcW w:w="10685" w:type="dxa"/>
            <w:hideMark/>
          </w:tcPr>
          <w:p w14:paraId="7DDAEBC8" w14:textId="77777777" w:rsidR="00027543" w:rsidRPr="00B70D5B" w:rsidRDefault="00027543" w:rsidP="00C02CDB">
            <w:pPr>
              <w:rPr>
                <w:rFonts w:ascii="Avenir" w:hAnsi="Avenir" w:cstheme="minorHAnsi"/>
                <w:sz w:val="21"/>
                <w:szCs w:val="20"/>
              </w:rPr>
            </w:pPr>
            <w:r w:rsidRPr="00B70D5B">
              <w:rPr>
                <w:rFonts w:ascii="Avenir" w:hAnsi="Avenir" w:cstheme="minorHAnsi"/>
                <w:b/>
                <w:bCs/>
                <w:sz w:val="21"/>
                <w:szCs w:val="20"/>
              </w:rPr>
              <w:t>Transfers</w:t>
            </w:r>
            <w:r w:rsidRPr="00B70D5B">
              <w:rPr>
                <w:rFonts w:ascii="Avenir" w:hAnsi="Avenir" w:cstheme="minorHAnsi"/>
                <w:sz w:val="21"/>
                <w:szCs w:val="20"/>
              </w:rPr>
              <w:t xml:space="preserve"> details the types of supported transfers, including payment flows, limits, and access channels</w:t>
            </w:r>
          </w:p>
        </w:tc>
      </w:tr>
      <w:tr w:rsidR="00027543" w:rsidRPr="00B70D5B" w14:paraId="7E2DCD73" w14:textId="77777777" w:rsidTr="00027543">
        <w:trPr>
          <w:cnfStyle w:val="000000100000" w:firstRow="0" w:lastRow="0" w:firstColumn="0" w:lastColumn="0" w:oddVBand="0" w:evenVBand="0" w:oddHBand="1" w:evenHBand="0" w:firstRowFirstColumn="0" w:firstRowLastColumn="0" w:lastRowFirstColumn="0" w:lastRowLastColumn="0"/>
          <w:trHeight w:val="349"/>
          <w:jc w:val="right"/>
        </w:trPr>
        <w:tc>
          <w:tcPr>
            <w:tcW w:w="10685" w:type="dxa"/>
            <w:hideMark/>
          </w:tcPr>
          <w:p w14:paraId="21EF8E2B" w14:textId="77777777" w:rsidR="00027543" w:rsidRPr="00B70D5B" w:rsidRDefault="00027543" w:rsidP="00C02CDB">
            <w:pPr>
              <w:rPr>
                <w:rFonts w:ascii="Avenir" w:hAnsi="Avenir" w:cstheme="minorHAnsi"/>
                <w:sz w:val="21"/>
                <w:szCs w:val="20"/>
              </w:rPr>
            </w:pPr>
            <w:r w:rsidRPr="00B70D5B">
              <w:rPr>
                <w:rFonts w:ascii="Avenir" w:hAnsi="Avenir" w:cstheme="minorHAnsi"/>
                <w:b/>
                <w:bCs/>
                <w:sz w:val="21"/>
                <w:szCs w:val="20"/>
              </w:rPr>
              <w:t xml:space="preserve">Messaging </w:t>
            </w:r>
            <w:r w:rsidRPr="00B70D5B">
              <w:rPr>
                <w:rFonts w:ascii="Avenir" w:hAnsi="Avenir" w:cstheme="minorHAnsi"/>
                <w:sz w:val="21"/>
                <w:szCs w:val="20"/>
              </w:rPr>
              <w:t>introduces messaging standards and messaging types (further details of messaging are often articulated in an operating guideline)</w:t>
            </w:r>
          </w:p>
        </w:tc>
      </w:tr>
      <w:tr w:rsidR="00027543" w:rsidRPr="00B70D5B" w14:paraId="48E83FCA" w14:textId="77777777" w:rsidTr="00027543">
        <w:trPr>
          <w:trHeight w:val="349"/>
          <w:jc w:val="right"/>
        </w:trPr>
        <w:tc>
          <w:tcPr>
            <w:tcW w:w="10685" w:type="dxa"/>
            <w:hideMark/>
          </w:tcPr>
          <w:p w14:paraId="3E2FC012" w14:textId="7BC8CFBF" w:rsidR="00027543" w:rsidRPr="00B70D5B" w:rsidRDefault="00027543" w:rsidP="00C02CDB">
            <w:pPr>
              <w:rPr>
                <w:rFonts w:ascii="Avenir" w:hAnsi="Avenir" w:cstheme="minorHAnsi"/>
                <w:sz w:val="21"/>
                <w:szCs w:val="20"/>
              </w:rPr>
            </w:pPr>
            <w:r w:rsidRPr="00B70D5B">
              <w:rPr>
                <w:rFonts w:ascii="Avenir" w:hAnsi="Avenir" w:cstheme="minorHAnsi"/>
                <w:b/>
                <w:bCs/>
                <w:sz w:val="21"/>
                <w:szCs w:val="20"/>
              </w:rPr>
              <w:t xml:space="preserve">Roles and Responsibilities </w:t>
            </w:r>
            <w:r w:rsidRPr="00B70D5B">
              <w:rPr>
                <w:rFonts w:ascii="Avenir" w:hAnsi="Avenir" w:cstheme="minorHAnsi"/>
                <w:sz w:val="21"/>
                <w:szCs w:val="20"/>
              </w:rPr>
              <w:t xml:space="preserve">describes scheme roles and participation classes, including </w:t>
            </w:r>
            <w:r w:rsidR="00D530E7">
              <w:rPr>
                <w:rFonts w:ascii="Avenir" w:hAnsi="Avenir" w:cstheme="minorHAnsi"/>
                <w:sz w:val="21"/>
                <w:szCs w:val="20"/>
              </w:rPr>
              <w:t>permissions</w:t>
            </w:r>
            <w:r w:rsidR="00D530E7" w:rsidRPr="00B70D5B">
              <w:rPr>
                <w:rFonts w:ascii="Avenir" w:hAnsi="Avenir" w:cstheme="minorHAnsi"/>
                <w:sz w:val="21"/>
                <w:szCs w:val="20"/>
              </w:rPr>
              <w:t xml:space="preserve"> </w:t>
            </w:r>
            <w:r w:rsidRPr="00B70D5B">
              <w:rPr>
                <w:rFonts w:ascii="Avenir" w:hAnsi="Avenir" w:cstheme="minorHAnsi"/>
                <w:sz w:val="21"/>
                <w:szCs w:val="20"/>
              </w:rPr>
              <w:t>and requirements</w:t>
            </w:r>
            <w:r w:rsidR="00D530E7">
              <w:rPr>
                <w:rFonts w:ascii="Avenir" w:hAnsi="Avenir" w:cstheme="minorHAnsi"/>
                <w:sz w:val="21"/>
                <w:szCs w:val="20"/>
              </w:rPr>
              <w:t xml:space="preserve"> for each role</w:t>
            </w:r>
          </w:p>
        </w:tc>
      </w:tr>
      <w:tr w:rsidR="00027543" w:rsidRPr="00B70D5B" w14:paraId="17C5A468" w14:textId="77777777" w:rsidTr="00027543">
        <w:trPr>
          <w:cnfStyle w:val="000000100000" w:firstRow="0" w:lastRow="0" w:firstColumn="0" w:lastColumn="0" w:oddVBand="0" w:evenVBand="0" w:oddHBand="1" w:evenHBand="0" w:firstRowFirstColumn="0" w:firstRowLastColumn="0" w:lastRowFirstColumn="0" w:lastRowLastColumn="0"/>
          <w:trHeight w:val="429"/>
          <w:jc w:val="right"/>
        </w:trPr>
        <w:tc>
          <w:tcPr>
            <w:tcW w:w="10685" w:type="dxa"/>
            <w:hideMark/>
          </w:tcPr>
          <w:p w14:paraId="10E40CA4" w14:textId="77777777" w:rsidR="00027543" w:rsidRPr="00B70D5B" w:rsidRDefault="00027543" w:rsidP="00C02CDB">
            <w:pPr>
              <w:rPr>
                <w:rFonts w:ascii="Avenir" w:hAnsi="Avenir" w:cstheme="minorHAnsi"/>
                <w:sz w:val="21"/>
                <w:szCs w:val="20"/>
              </w:rPr>
            </w:pPr>
            <w:r w:rsidRPr="00B70D5B">
              <w:rPr>
                <w:rFonts w:ascii="Avenir" w:hAnsi="Avenir" w:cstheme="minorHAnsi"/>
                <w:b/>
                <w:bCs/>
                <w:sz w:val="21"/>
                <w:szCs w:val="20"/>
              </w:rPr>
              <w:t xml:space="preserve">Clearing </w:t>
            </w:r>
            <w:r w:rsidRPr="00B70D5B">
              <w:rPr>
                <w:rFonts w:ascii="Avenir" w:hAnsi="Avenir" w:cstheme="minorHAnsi"/>
                <w:sz w:val="21"/>
                <w:szCs w:val="20"/>
              </w:rPr>
              <w:t>details the clearing service, including the approach, process, and roles / responsibilities (further details of clearing are often articulated in an operating guideline)</w:t>
            </w:r>
          </w:p>
        </w:tc>
      </w:tr>
      <w:tr w:rsidR="00027543" w:rsidRPr="00B70D5B" w14:paraId="17C85AE7" w14:textId="77777777" w:rsidTr="00027543">
        <w:trPr>
          <w:trHeight w:val="589"/>
          <w:jc w:val="right"/>
        </w:trPr>
        <w:tc>
          <w:tcPr>
            <w:tcW w:w="10685" w:type="dxa"/>
            <w:hideMark/>
          </w:tcPr>
          <w:p w14:paraId="1440DF6F" w14:textId="77777777" w:rsidR="00027543" w:rsidRPr="00B70D5B" w:rsidRDefault="00027543" w:rsidP="00C02CDB">
            <w:pPr>
              <w:rPr>
                <w:rFonts w:ascii="Avenir" w:hAnsi="Avenir" w:cstheme="minorHAnsi"/>
                <w:sz w:val="21"/>
                <w:szCs w:val="20"/>
              </w:rPr>
            </w:pPr>
            <w:r w:rsidRPr="00B70D5B">
              <w:rPr>
                <w:rFonts w:ascii="Avenir" w:hAnsi="Avenir" w:cstheme="minorHAnsi"/>
                <w:b/>
                <w:bCs/>
                <w:sz w:val="21"/>
                <w:szCs w:val="20"/>
              </w:rPr>
              <w:t xml:space="preserve">Settlement </w:t>
            </w:r>
            <w:r w:rsidRPr="00B70D5B">
              <w:rPr>
                <w:rFonts w:ascii="Avenir" w:hAnsi="Avenir" w:cstheme="minorHAnsi"/>
                <w:sz w:val="21"/>
                <w:szCs w:val="20"/>
              </w:rPr>
              <w:t>details the settlement service, including the approach (e.g. funding, windows, monitoring, instruction requirements, etc.) and roles / responsibilities (further details of settlement are often articulated in an operating guideline)</w:t>
            </w:r>
          </w:p>
        </w:tc>
      </w:tr>
      <w:tr w:rsidR="00027543" w:rsidRPr="00B70D5B" w14:paraId="3D5833C5" w14:textId="77777777" w:rsidTr="00027543">
        <w:trPr>
          <w:cnfStyle w:val="000000100000" w:firstRow="0" w:lastRow="0" w:firstColumn="0" w:lastColumn="0" w:oddVBand="0" w:evenVBand="0" w:oddHBand="1" w:evenHBand="0" w:firstRowFirstColumn="0" w:firstRowLastColumn="0" w:lastRowFirstColumn="0" w:lastRowLastColumn="0"/>
          <w:trHeight w:val="509"/>
          <w:jc w:val="right"/>
        </w:trPr>
        <w:tc>
          <w:tcPr>
            <w:tcW w:w="10685" w:type="dxa"/>
            <w:hideMark/>
          </w:tcPr>
          <w:p w14:paraId="7C53FE85" w14:textId="19ADABA2" w:rsidR="00027543" w:rsidRPr="00B70D5B" w:rsidRDefault="00027543" w:rsidP="00C02CDB">
            <w:pPr>
              <w:rPr>
                <w:rFonts w:ascii="Avenir" w:hAnsi="Avenir" w:cstheme="minorHAnsi"/>
                <w:sz w:val="21"/>
                <w:szCs w:val="20"/>
              </w:rPr>
            </w:pPr>
            <w:r w:rsidRPr="00B70D5B">
              <w:rPr>
                <w:rFonts w:ascii="Avenir" w:hAnsi="Avenir" w:cstheme="minorHAnsi"/>
                <w:b/>
                <w:bCs/>
                <w:sz w:val="21"/>
                <w:szCs w:val="20"/>
              </w:rPr>
              <w:t xml:space="preserve">Addressing </w:t>
            </w:r>
            <w:r w:rsidRPr="00B70D5B">
              <w:rPr>
                <w:rFonts w:ascii="Avenir" w:hAnsi="Avenir" w:cstheme="minorHAnsi"/>
                <w:sz w:val="21"/>
                <w:szCs w:val="20"/>
              </w:rPr>
              <w:t xml:space="preserve">details </w:t>
            </w:r>
            <w:r w:rsidR="00D530E7">
              <w:rPr>
                <w:rFonts w:ascii="Avenir" w:hAnsi="Avenir" w:cstheme="minorHAnsi"/>
                <w:sz w:val="21"/>
                <w:szCs w:val="20"/>
              </w:rPr>
              <w:t>the approach to adressing within the scheme</w:t>
            </w:r>
            <w:r w:rsidRPr="00B70D5B">
              <w:rPr>
                <w:rFonts w:ascii="Avenir" w:hAnsi="Avenir" w:cstheme="minorHAnsi"/>
                <w:sz w:val="21"/>
                <w:szCs w:val="20"/>
              </w:rPr>
              <w:t xml:space="preserve">, including the </w:t>
            </w:r>
            <w:r w:rsidR="001B1BCC">
              <w:rPr>
                <w:rFonts w:ascii="Avenir" w:hAnsi="Avenir" w:cstheme="minorHAnsi"/>
                <w:sz w:val="21"/>
                <w:szCs w:val="20"/>
              </w:rPr>
              <w:t>permitted</w:t>
            </w:r>
            <w:r w:rsidRPr="00B70D5B">
              <w:rPr>
                <w:rFonts w:ascii="Avenir" w:hAnsi="Avenir" w:cstheme="minorHAnsi"/>
                <w:sz w:val="21"/>
                <w:szCs w:val="20"/>
              </w:rPr>
              <w:t xml:space="preserve"> addresses, and processes to port and register </w:t>
            </w:r>
            <w:r w:rsidR="001B1BCC">
              <w:rPr>
                <w:rFonts w:ascii="Avenir" w:hAnsi="Avenir" w:cstheme="minorHAnsi"/>
                <w:sz w:val="21"/>
                <w:szCs w:val="20"/>
              </w:rPr>
              <w:t>addresses if social addresses (e.g. phone number, alias) are permitted. F</w:t>
            </w:r>
            <w:r w:rsidRPr="00B70D5B">
              <w:rPr>
                <w:rFonts w:ascii="Avenir" w:hAnsi="Avenir" w:cstheme="minorHAnsi"/>
                <w:sz w:val="21"/>
                <w:szCs w:val="20"/>
              </w:rPr>
              <w:t>urther details of addressing are often articulated in an operating guideline</w:t>
            </w:r>
          </w:p>
        </w:tc>
      </w:tr>
      <w:tr w:rsidR="00027543" w:rsidRPr="00B70D5B" w14:paraId="1859B744" w14:textId="77777777" w:rsidTr="00027543">
        <w:trPr>
          <w:trHeight w:val="429"/>
          <w:jc w:val="right"/>
        </w:trPr>
        <w:tc>
          <w:tcPr>
            <w:tcW w:w="10685" w:type="dxa"/>
            <w:hideMark/>
          </w:tcPr>
          <w:p w14:paraId="7BC6E55A" w14:textId="77777777" w:rsidR="00027543" w:rsidRPr="00B70D5B" w:rsidRDefault="00027543" w:rsidP="00C02CDB">
            <w:pPr>
              <w:rPr>
                <w:rFonts w:ascii="Avenir" w:hAnsi="Avenir" w:cstheme="minorHAnsi"/>
                <w:sz w:val="21"/>
                <w:szCs w:val="20"/>
              </w:rPr>
            </w:pPr>
            <w:r w:rsidRPr="00B70D5B">
              <w:rPr>
                <w:rFonts w:ascii="Avenir" w:hAnsi="Avenir" w:cstheme="minorHAnsi"/>
                <w:b/>
                <w:bCs/>
                <w:sz w:val="21"/>
                <w:szCs w:val="20"/>
              </w:rPr>
              <w:t xml:space="preserve">[Other Services provided by the platform, e.g. fraud management, dispute resolution, APIs, etc. -- separate section for each service] </w:t>
            </w:r>
            <w:r w:rsidRPr="00B70D5B">
              <w:rPr>
                <w:rFonts w:ascii="Avenir" w:hAnsi="Avenir" w:cstheme="minorHAnsi"/>
                <w:sz w:val="21"/>
                <w:szCs w:val="20"/>
              </w:rPr>
              <w:t>each additional mandatory service including approaches and requirements</w:t>
            </w:r>
          </w:p>
        </w:tc>
      </w:tr>
      <w:tr w:rsidR="00027543" w:rsidRPr="00B70D5B" w14:paraId="3E9C98CB" w14:textId="77777777" w:rsidTr="00027543">
        <w:trPr>
          <w:cnfStyle w:val="000000100000" w:firstRow="0" w:lastRow="0" w:firstColumn="0" w:lastColumn="0" w:oddVBand="0" w:evenVBand="0" w:oddHBand="1" w:evenHBand="0" w:firstRowFirstColumn="0" w:firstRowLastColumn="0" w:lastRowFirstColumn="0" w:lastRowLastColumn="0"/>
          <w:trHeight w:val="268"/>
          <w:jc w:val="right"/>
        </w:trPr>
        <w:tc>
          <w:tcPr>
            <w:tcW w:w="10685" w:type="dxa"/>
            <w:hideMark/>
          </w:tcPr>
          <w:p w14:paraId="44D87210" w14:textId="77777777" w:rsidR="00027543" w:rsidRPr="00B70D5B" w:rsidRDefault="00027543" w:rsidP="00C02CDB">
            <w:pPr>
              <w:rPr>
                <w:rFonts w:ascii="Avenir" w:hAnsi="Avenir" w:cstheme="minorHAnsi"/>
                <w:sz w:val="21"/>
                <w:szCs w:val="20"/>
              </w:rPr>
            </w:pPr>
            <w:r w:rsidRPr="00B70D5B">
              <w:rPr>
                <w:rFonts w:ascii="Avenir" w:hAnsi="Avenir" w:cstheme="minorHAnsi"/>
                <w:b/>
                <w:bCs/>
                <w:sz w:val="21"/>
                <w:szCs w:val="20"/>
              </w:rPr>
              <w:t xml:space="preserve">Risk management </w:t>
            </w:r>
            <w:r w:rsidRPr="00B70D5B">
              <w:rPr>
                <w:rFonts w:ascii="Avenir" w:hAnsi="Avenir" w:cstheme="minorHAnsi"/>
                <w:sz w:val="21"/>
                <w:szCs w:val="20"/>
              </w:rPr>
              <w:t>articulates the risk management goals, applicable standards, and requirements</w:t>
            </w:r>
          </w:p>
        </w:tc>
      </w:tr>
      <w:tr w:rsidR="00027543" w:rsidRPr="00B70D5B" w14:paraId="12CBFA99" w14:textId="77777777" w:rsidTr="00027543">
        <w:trPr>
          <w:trHeight w:val="349"/>
          <w:jc w:val="right"/>
        </w:trPr>
        <w:tc>
          <w:tcPr>
            <w:tcW w:w="10685" w:type="dxa"/>
            <w:hideMark/>
          </w:tcPr>
          <w:p w14:paraId="189E7A71" w14:textId="77777777" w:rsidR="00027543" w:rsidRPr="00B70D5B" w:rsidRDefault="00027543" w:rsidP="00C02CDB">
            <w:pPr>
              <w:rPr>
                <w:rFonts w:ascii="Avenir" w:hAnsi="Avenir" w:cstheme="minorHAnsi"/>
                <w:sz w:val="21"/>
                <w:szCs w:val="20"/>
              </w:rPr>
            </w:pPr>
            <w:r w:rsidRPr="00B70D5B">
              <w:rPr>
                <w:rFonts w:ascii="Avenir" w:hAnsi="Avenir" w:cstheme="minorHAnsi"/>
                <w:b/>
                <w:bCs/>
                <w:sz w:val="21"/>
                <w:szCs w:val="20"/>
              </w:rPr>
              <w:t xml:space="preserve">Pricing / Fees </w:t>
            </w:r>
            <w:r w:rsidRPr="00B70D5B">
              <w:rPr>
                <w:rFonts w:ascii="Avenir" w:hAnsi="Avenir" w:cstheme="minorHAnsi"/>
                <w:sz w:val="21"/>
                <w:szCs w:val="20"/>
              </w:rPr>
              <w:t>introduces applicable scheme fees (further details of fees are often articulated in an operating guideline)</w:t>
            </w:r>
          </w:p>
        </w:tc>
      </w:tr>
      <w:tr w:rsidR="00926EA3" w:rsidRPr="00B70D5B" w14:paraId="1366FF6C" w14:textId="77777777" w:rsidTr="00027543">
        <w:trPr>
          <w:cnfStyle w:val="000000100000" w:firstRow="0" w:lastRow="0" w:firstColumn="0" w:lastColumn="0" w:oddVBand="0" w:evenVBand="0" w:oddHBand="1" w:evenHBand="0" w:firstRowFirstColumn="0" w:firstRowLastColumn="0" w:lastRowFirstColumn="0" w:lastRowLastColumn="0"/>
          <w:trHeight w:val="256"/>
          <w:jc w:val="right"/>
        </w:trPr>
        <w:tc>
          <w:tcPr>
            <w:tcW w:w="10685" w:type="dxa"/>
          </w:tcPr>
          <w:p w14:paraId="74559CA3" w14:textId="29C28297" w:rsidR="00926EA3" w:rsidRPr="00B70D5B" w:rsidRDefault="00926EA3" w:rsidP="00C02CDB">
            <w:pPr>
              <w:rPr>
                <w:rFonts w:ascii="Avenir" w:hAnsi="Avenir" w:cstheme="minorHAnsi"/>
                <w:b/>
                <w:bCs/>
                <w:sz w:val="21"/>
              </w:rPr>
            </w:pPr>
            <w:r>
              <w:rPr>
                <w:rFonts w:ascii="Avenir" w:hAnsi="Avenir" w:cstheme="minorHAnsi"/>
                <w:b/>
                <w:bCs/>
                <w:sz w:val="21"/>
              </w:rPr>
              <w:t xml:space="preserve">Branding </w:t>
            </w:r>
            <w:r w:rsidRPr="003A5E35">
              <w:rPr>
                <w:rFonts w:ascii="Avenir" w:hAnsi="Avenir" w:cstheme="minorHAnsi"/>
                <w:sz w:val="21"/>
              </w:rPr>
              <w:t xml:space="preserve">introduces the scheme brand and </w:t>
            </w:r>
            <w:r w:rsidR="0055786F" w:rsidRPr="003A5E35">
              <w:rPr>
                <w:rFonts w:ascii="Avenir" w:hAnsi="Avenir" w:cstheme="minorHAnsi"/>
                <w:sz w:val="21"/>
              </w:rPr>
              <w:t>branding requirments</w:t>
            </w:r>
          </w:p>
        </w:tc>
      </w:tr>
      <w:tr w:rsidR="00027543" w:rsidRPr="00B70D5B" w14:paraId="237FB704" w14:textId="77777777" w:rsidTr="00027543">
        <w:trPr>
          <w:trHeight w:val="256"/>
          <w:jc w:val="right"/>
        </w:trPr>
        <w:tc>
          <w:tcPr>
            <w:tcW w:w="10685" w:type="dxa"/>
            <w:hideMark/>
          </w:tcPr>
          <w:p w14:paraId="3659863E" w14:textId="77777777" w:rsidR="00027543" w:rsidRPr="00B70D5B" w:rsidRDefault="00027543" w:rsidP="00C02CDB">
            <w:pPr>
              <w:rPr>
                <w:rFonts w:ascii="Avenir" w:hAnsi="Avenir" w:cstheme="minorHAnsi"/>
                <w:sz w:val="21"/>
                <w:szCs w:val="20"/>
              </w:rPr>
            </w:pPr>
            <w:r w:rsidRPr="00B70D5B">
              <w:rPr>
                <w:rFonts w:ascii="Avenir" w:hAnsi="Avenir" w:cstheme="minorHAnsi"/>
                <w:b/>
                <w:bCs/>
                <w:sz w:val="21"/>
                <w:szCs w:val="20"/>
              </w:rPr>
              <w:t xml:space="preserve">Glossary </w:t>
            </w:r>
            <w:r w:rsidRPr="00B70D5B">
              <w:rPr>
                <w:rFonts w:ascii="Avenir" w:hAnsi="Avenir" w:cstheme="minorHAnsi"/>
                <w:sz w:val="21"/>
                <w:szCs w:val="20"/>
              </w:rPr>
              <w:t>defines terms and acronyms</w:t>
            </w:r>
          </w:p>
        </w:tc>
      </w:tr>
      <w:tr w:rsidR="00027543" w:rsidRPr="00B70D5B" w14:paraId="1D7D66CE" w14:textId="77777777" w:rsidTr="00027543">
        <w:trPr>
          <w:cnfStyle w:val="000000100000" w:firstRow="0" w:lastRow="0" w:firstColumn="0" w:lastColumn="0" w:oddVBand="0" w:evenVBand="0" w:oddHBand="1" w:evenHBand="0" w:firstRowFirstColumn="0" w:firstRowLastColumn="0" w:lastRowFirstColumn="0" w:lastRowLastColumn="0"/>
          <w:trHeight w:val="349"/>
          <w:jc w:val="right"/>
        </w:trPr>
        <w:tc>
          <w:tcPr>
            <w:tcW w:w="10685" w:type="dxa"/>
            <w:hideMark/>
          </w:tcPr>
          <w:p w14:paraId="759CDAA8" w14:textId="77777777" w:rsidR="00027543" w:rsidRPr="00B70D5B" w:rsidRDefault="00027543" w:rsidP="00C02CDB">
            <w:pPr>
              <w:rPr>
                <w:rFonts w:ascii="Avenir" w:hAnsi="Avenir" w:cstheme="minorHAnsi"/>
                <w:sz w:val="21"/>
                <w:szCs w:val="20"/>
              </w:rPr>
            </w:pPr>
            <w:r w:rsidRPr="00B70D5B">
              <w:rPr>
                <w:rFonts w:ascii="Avenir" w:hAnsi="Avenir" w:cstheme="minorHAnsi"/>
                <w:b/>
                <w:bCs/>
                <w:sz w:val="21"/>
                <w:szCs w:val="20"/>
              </w:rPr>
              <w:t xml:space="preserve">Operating Guidelines </w:t>
            </w:r>
            <w:r w:rsidRPr="00B70D5B">
              <w:rPr>
                <w:rFonts w:ascii="Avenir" w:hAnsi="Avenir" w:cstheme="minorHAnsi"/>
                <w:sz w:val="21"/>
                <w:szCs w:val="20"/>
              </w:rPr>
              <w:t>provides specifications and technical details that support various aspects of the scheme</w:t>
            </w:r>
          </w:p>
        </w:tc>
      </w:tr>
    </w:tbl>
    <w:p w14:paraId="1BA4D1F1" w14:textId="02D12F65" w:rsidR="00605F12" w:rsidRPr="00605F12" w:rsidRDefault="00605F12" w:rsidP="00605F12">
      <w:pPr>
        <w:rPr>
          <w:rFonts w:ascii="Avenir Book" w:eastAsia="Times New Roman" w:hAnsi="Avenir Book" w:cs="Times New Roman"/>
          <w:color w:val="222222"/>
          <w:shd w:val="clear" w:color="auto" w:fill="FFFFFF"/>
        </w:rPr>
      </w:pPr>
    </w:p>
    <w:p w14:paraId="4EF480BB" w14:textId="0E9B9A66" w:rsidR="00AD08C8" w:rsidRDefault="00AD08C8" w:rsidP="00F8252D">
      <w:pPr>
        <w:pStyle w:val="Heading1"/>
        <w:rPr>
          <w:b w:val="0"/>
          <w:bCs w:val="0"/>
          <w:caps w:val="0"/>
          <w:color w:val="224B91" w:themeColor="accent1"/>
          <w:shd w:val="clear" w:color="auto" w:fill="FFFFFF"/>
        </w:rPr>
      </w:pPr>
      <w:r>
        <w:rPr>
          <w:b w:val="0"/>
          <w:bCs w:val="0"/>
          <w:caps w:val="0"/>
          <w:color w:val="224B91" w:themeColor="accent1"/>
          <w:shd w:val="clear" w:color="auto" w:fill="FFFFFF"/>
        </w:rPr>
        <w:lastRenderedPageBreak/>
        <w:br/>
      </w:r>
    </w:p>
    <w:p w14:paraId="06DE7AA3" w14:textId="027F058A" w:rsidR="00A82319" w:rsidRPr="003A5E35" w:rsidRDefault="00AD08C8" w:rsidP="00F8252D">
      <w:pPr>
        <w:pStyle w:val="Heading1"/>
        <w:rPr>
          <w:rFonts w:ascii="Avenir Book" w:hAnsi="Avenir Book"/>
          <w:b w:val="0"/>
          <w:bCs w:val="0"/>
          <w:caps w:val="0"/>
          <w:color w:val="224B91" w:themeColor="accent1"/>
          <w:shd w:val="clear" w:color="auto" w:fill="FFFFFF"/>
        </w:rPr>
      </w:pPr>
      <w:r w:rsidRPr="003A5E35">
        <w:rPr>
          <w:rFonts w:ascii="Avenir Book" w:hAnsi="Avenir Book"/>
          <w:b w:val="0"/>
          <w:bCs w:val="0"/>
          <w:caps w:val="0"/>
          <w:color w:val="224B91" w:themeColor="accent1"/>
          <w:shd w:val="clear" w:color="auto" w:fill="FFFFFF"/>
        </w:rPr>
        <mc:AlternateContent>
          <mc:Choice Requires="wps">
            <w:drawing>
              <wp:anchor distT="182880" distB="182880" distL="274320" distR="274320" simplePos="0" relativeHeight="251661312" behindDoc="0" locked="0" layoutInCell="1" allowOverlap="0" wp14:anchorId="3BFF9F24" wp14:editId="2017921C">
                <wp:simplePos x="0" y="0"/>
                <wp:positionH relativeFrom="margin">
                  <wp:posOffset>4603750</wp:posOffset>
                </wp:positionH>
                <wp:positionV relativeFrom="margin">
                  <wp:posOffset>676910</wp:posOffset>
                </wp:positionV>
                <wp:extent cx="2240280" cy="7538085"/>
                <wp:effectExtent l="0" t="0" r="7620" b="5715"/>
                <wp:wrapSquare wrapText="bothSides"/>
                <wp:docPr id="3" name="Text Box 3" descr="Text box sidebar"/>
                <wp:cNvGraphicFramePr/>
                <a:graphic xmlns:a="http://schemas.openxmlformats.org/drawingml/2006/main">
                  <a:graphicData uri="http://schemas.microsoft.com/office/word/2010/wordprocessingShape">
                    <wps:wsp>
                      <wps:cNvSpPr txBox="1"/>
                      <wps:spPr>
                        <a:xfrm>
                          <a:off x="0" y="0"/>
                          <a:ext cx="2240280" cy="7538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F8252D" w14:paraId="4F5B71EE" w14:textId="77777777" w:rsidTr="00DC0B1C">
                              <w:trPr>
                                <w:trHeight w:hRule="exact" w:val="12348"/>
                              </w:trPr>
                              <w:tc>
                                <w:tcPr>
                                  <w:tcW w:w="3518" w:type="dxa"/>
                                  <w:shd w:val="clear" w:color="auto" w:fill="19386C" w:themeFill="accent1" w:themeFillShade="BF"/>
                                  <w:tcMar>
                                    <w:top w:w="288" w:type="dxa"/>
                                    <w:bottom w:w="288" w:type="dxa"/>
                                  </w:tcMar>
                                </w:tcPr>
                                <w:p w14:paraId="3E55BA15" w14:textId="462C5A40" w:rsidR="00F8252D" w:rsidRDefault="00027543" w:rsidP="00F8252D">
                                  <w:pPr>
                                    <w:pStyle w:val="BlockHeading"/>
                                  </w:pPr>
                                  <w:r>
                                    <w:t>Rulebook considerations</w:t>
                                  </w:r>
                                </w:p>
                                <w:p w14:paraId="71F667C2" w14:textId="2228F1B2" w:rsidR="00F8252D" w:rsidRDefault="00DC0B1C" w:rsidP="00027543">
                                  <w:pPr>
                                    <w:pStyle w:val="BlockText"/>
                                  </w:pPr>
                                  <w:r>
                                    <w:rPr>
                                      <w:b/>
                                    </w:rPr>
                                    <w:t>THIN RULEBOOK AND THE USE OF VARIABLE</w:t>
                                  </w:r>
                                  <w:r>
                                    <w:rPr>
                                      <w:b/>
                                    </w:rPr>
                                    <w:br/>
                                  </w:r>
                                  <w:r w:rsidR="00027543">
                                    <w:t>Scheme rulebooks vary in their depth</w:t>
                                  </w:r>
                                  <w:r w:rsidR="008B72EF">
                                    <w:t xml:space="preserve"> and detail</w:t>
                                  </w:r>
                                  <w:r w:rsidR="00027543">
                                    <w:t xml:space="preserve">. </w:t>
                                  </w:r>
                                  <w:r w:rsidR="00985642">
                                    <w:t>Currently, t</w:t>
                                  </w:r>
                                  <w:r w:rsidR="00027543">
                                    <w:t xml:space="preserve">here is a global trend towards ‘thin’ rulebooks, that articulate only the necessary rules for the scheme that are applicable in all circumstances, unless stated otherwise. To outline </w:t>
                                  </w:r>
                                  <w:r w:rsidR="00026792">
                                    <w:t>when deviations are permitted</w:t>
                                  </w:r>
                                  <w:r w:rsidR="00027543">
                                    <w:t xml:space="preserve">, </w:t>
                                  </w:r>
                                  <w:r w:rsidR="00026792">
                                    <w:t xml:space="preserve">thin </w:t>
                                  </w:r>
                                  <w:r w:rsidR="00027543">
                                    <w:t>rulebooks offer a ‘Variable’ clause that acknowledges instances in which a rule may be applied differently. This appr</w:t>
                                  </w:r>
                                  <w:r w:rsidR="00985642">
                                    <w:t>o</w:t>
                                  </w:r>
                                  <w:r w:rsidR="00027543">
                                    <w:t>ach tends to lower the operational and management burden</w:t>
                                  </w:r>
                                  <w:r w:rsidR="008B72EF">
                                    <w:t xml:space="preserve"> of the scheme.</w:t>
                                  </w:r>
                                </w:p>
                                <w:p w14:paraId="42C1F723" w14:textId="774605F2" w:rsidR="00D606D5" w:rsidRDefault="00D606D5" w:rsidP="00027543">
                                  <w:pPr>
                                    <w:pStyle w:val="BlockText"/>
                                  </w:pPr>
                                  <w:r>
                                    <w:t>SCHEME GOVERNANCE</w:t>
                                  </w:r>
                                </w:p>
                                <w:p w14:paraId="79D083C1" w14:textId="2D953A06" w:rsidR="00DC0B1C" w:rsidRPr="00DC0B1C" w:rsidRDefault="008B72EF" w:rsidP="00027543">
                                  <w:pPr>
                                    <w:pStyle w:val="BlockText"/>
                                  </w:pPr>
                                  <w:r>
                                    <w:t>Increasingly, the governance structure</w:t>
                                  </w:r>
                                  <w:r w:rsidR="00026792">
                                    <w:t>s</w:t>
                                  </w:r>
                                  <w:r>
                                    <w:t xml:space="preserve"> of real-time retail payments schemes allow for multiple </w:t>
                                  </w:r>
                                  <w:r w:rsidR="00026792">
                                    <w:t xml:space="preserve">entity types to submit input </w:t>
                                  </w:r>
                                  <w:r>
                                    <w:t xml:space="preserve">on </w:t>
                                  </w:r>
                                  <w:r w:rsidR="00026792">
                                    <w:t xml:space="preserve">proposed </w:t>
                                  </w:r>
                                  <w:r>
                                    <w:t>scheme rules changes. Notably, best practice suggests allowing all scheme Direct Participants to have an equal say (be it through voting or otherwise).</w:t>
                                  </w:r>
                                </w:p>
                              </w:tc>
                            </w:tr>
                            <w:tr w:rsidR="00F8252D" w14:paraId="53435DB5" w14:textId="77777777">
                              <w:trPr>
                                <w:trHeight w:hRule="exact" w:val="288"/>
                              </w:trPr>
                              <w:tc>
                                <w:tcPr>
                                  <w:tcW w:w="3518" w:type="dxa"/>
                                </w:tcPr>
                                <w:p w14:paraId="022EAA2E" w14:textId="77777777" w:rsidR="00F8252D" w:rsidRDefault="00F8252D" w:rsidP="00F8252D"/>
                              </w:tc>
                            </w:tr>
                            <w:tr w:rsidR="00F8252D" w14:paraId="6809546C" w14:textId="77777777">
                              <w:trPr>
                                <w:trHeight w:hRule="exact" w:val="3312"/>
                              </w:trPr>
                              <w:tc>
                                <w:tcPr>
                                  <w:tcW w:w="3518" w:type="dxa"/>
                                </w:tcPr>
                                <w:p w14:paraId="5A6ECF08" w14:textId="77777777" w:rsidR="00F8252D" w:rsidRDefault="00F8252D" w:rsidP="00F8252D"/>
                              </w:tc>
                            </w:tr>
                          </w:tbl>
                          <w:p w14:paraId="48F8B05D" w14:textId="77777777" w:rsidR="00F8252D" w:rsidRDefault="00F8252D" w:rsidP="00F8252D">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F9F24" id="_x0000_t202" coordsize="21600,21600" o:spt="202" path="m,l,21600r21600,l21600,xe">
                <v:stroke joinstyle="miter"/>
                <v:path gradientshapeok="t" o:connecttype="rect"/>
              </v:shapetype>
              <v:shape id="Text Box 3" o:spid="_x0000_s1026" type="#_x0000_t202" alt="Text box sidebar" style="position:absolute;margin-left:362.5pt;margin-top:53.3pt;width:176.4pt;height:593.55pt;z-index:251661312;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&#13;&#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F8252D" w14:paraId="4F5B71EE" w14:textId="77777777" w:rsidTr="00DC0B1C">
                        <w:trPr>
                          <w:trHeight w:hRule="exact" w:val="12348"/>
                        </w:trPr>
                        <w:tc>
                          <w:tcPr>
                            <w:tcW w:w="3518" w:type="dxa"/>
                            <w:shd w:val="clear" w:color="auto" w:fill="19386C" w:themeFill="accent1" w:themeFillShade="BF"/>
                            <w:tcMar>
                              <w:top w:w="288" w:type="dxa"/>
                              <w:bottom w:w="288" w:type="dxa"/>
                            </w:tcMar>
                          </w:tcPr>
                          <w:p w14:paraId="3E55BA15" w14:textId="462C5A40" w:rsidR="00F8252D" w:rsidRDefault="00027543" w:rsidP="00F8252D">
                            <w:pPr>
                              <w:pStyle w:val="BlockHeading"/>
                            </w:pPr>
                            <w:r>
                              <w:t>Rulebook considerations</w:t>
                            </w:r>
                          </w:p>
                          <w:p w14:paraId="71F667C2" w14:textId="2228F1B2" w:rsidR="00F8252D" w:rsidRDefault="00DC0B1C" w:rsidP="00027543">
                            <w:pPr>
                              <w:pStyle w:val="BlockText"/>
                            </w:pPr>
                            <w:r>
                              <w:rPr>
                                <w:b/>
                              </w:rPr>
                              <w:t>THIN RULEBOOK AND THE USE OF VARIABLE</w:t>
                            </w:r>
                            <w:r>
                              <w:rPr>
                                <w:b/>
                              </w:rPr>
                              <w:br/>
                            </w:r>
                            <w:r w:rsidR="00027543">
                              <w:t>Scheme rulebooks vary in their depth</w:t>
                            </w:r>
                            <w:r w:rsidR="008B72EF">
                              <w:t xml:space="preserve"> and detail</w:t>
                            </w:r>
                            <w:r w:rsidR="00027543">
                              <w:t xml:space="preserve">. </w:t>
                            </w:r>
                            <w:r w:rsidR="00985642">
                              <w:t>Currently, t</w:t>
                            </w:r>
                            <w:r w:rsidR="00027543">
                              <w:t xml:space="preserve">here is a global trend towards ‘thin’ rulebooks, that articulate only the necessary rules for the scheme that are applicable in all circumstances, unless stated otherwise. To outline </w:t>
                            </w:r>
                            <w:r w:rsidR="00026792">
                              <w:t>when deviations are permitted</w:t>
                            </w:r>
                            <w:r w:rsidR="00027543">
                              <w:t xml:space="preserve">, </w:t>
                            </w:r>
                            <w:r w:rsidR="00026792">
                              <w:t xml:space="preserve">thin </w:t>
                            </w:r>
                            <w:r w:rsidR="00027543">
                              <w:t>rulebooks offer a ‘Variable’ clause that acknowledges instances in which a rule may be applied differently. This appr</w:t>
                            </w:r>
                            <w:r w:rsidR="00985642">
                              <w:t>o</w:t>
                            </w:r>
                            <w:r w:rsidR="00027543">
                              <w:t>ach tends to lower the operational and management burden</w:t>
                            </w:r>
                            <w:r w:rsidR="008B72EF">
                              <w:t xml:space="preserve"> of the scheme.</w:t>
                            </w:r>
                          </w:p>
                          <w:p w14:paraId="42C1F723" w14:textId="774605F2" w:rsidR="00D606D5" w:rsidRDefault="00D606D5" w:rsidP="00027543">
                            <w:pPr>
                              <w:pStyle w:val="BlockText"/>
                            </w:pPr>
                            <w:r>
                              <w:t>SCHEME GOVERNANCE</w:t>
                            </w:r>
                          </w:p>
                          <w:p w14:paraId="79D083C1" w14:textId="2D953A06" w:rsidR="00DC0B1C" w:rsidRPr="00DC0B1C" w:rsidRDefault="008B72EF" w:rsidP="00027543">
                            <w:pPr>
                              <w:pStyle w:val="BlockText"/>
                            </w:pPr>
                            <w:r>
                              <w:t>Increasingly, the governance structure</w:t>
                            </w:r>
                            <w:r w:rsidR="00026792">
                              <w:t>s</w:t>
                            </w:r>
                            <w:r>
                              <w:t xml:space="preserve"> of real-time retail payments schemes allow for multiple </w:t>
                            </w:r>
                            <w:r w:rsidR="00026792">
                              <w:t xml:space="preserve">entity types to submit input </w:t>
                            </w:r>
                            <w:r>
                              <w:t xml:space="preserve">on </w:t>
                            </w:r>
                            <w:r w:rsidR="00026792">
                              <w:t xml:space="preserve">proposed </w:t>
                            </w:r>
                            <w:r>
                              <w:t>scheme rules changes. Notably, best practice suggests allowing all scheme Direct Participants to have an equal say (be it through voting or otherwise).</w:t>
                            </w:r>
                          </w:p>
                        </w:tc>
                      </w:tr>
                      <w:tr w:rsidR="00F8252D" w14:paraId="53435DB5" w14:textId="77777777">
                        <w:trPr>
                          <w:trHeight w:hRule="exact" w:val="288"/>
                        </w:trPr>
                        <w:tc>
                          <w:tcPr>
                            <w:tcW w:w="3518" w:type="dxa"/>
                          </w:tcPr>
                          <w:p w14:paraId="022EAA2E" w14:textId="77777777" w:rsidR="00F8252D" w:rsidRDefault="00F8252D" w:rsidP="00F8252D"/>
                        </w:tc>
                      </w:tr>
                      <w:tr w:rsidR="00F8252D" w14:paraId="6809546C" w14:textId="77777777">
                        <w:trPr>
                          <w:trHeight w:hRule="exact" w:val="3312"/>
                        </w:trPr>
                        <w:tc>
                          <w:tcPr>
                            <w:tcW w:w="3518" w:type="dxa"/>
                          </w:tcPr>
                          <w:p w14:paraId="5A6ECF08" w14:textId="77777777" w:rsidR="00F8252D" w:rsidRDefault="00F8252D" w:rsidP="00F8252D"/>
                        </w:tc>
                      </w:tr>
                    </w:tbl>
                    <w:p w14:paraId="48F8B05D" w14:textId="77777777" w:rsidR="00F8252D" w:rsidRDefault="00F8252D" w:rsidP="00F8252D">
                      <w:pPr>
                        <w:pStyle w:val="Caption"/>
                      </w:pPr>
                    </w:p>
                  </w:txbxContent>
                </v:textbox>
                <w10:wrap type="square" anchorx="margin" anchory="margin"/>
              </v:shape>
            </w:pict>
          </mc:Fallback>
        </mc:AlternateContent>
      </w:r>
      <w:r w:rsidRPr="003A5E35">
        <w:rPr>
          <w:rFonts w:ascii="Avenir Book" w:hAnsi="Avenir Book"/>
          <w:b w:val="0"/>
          <w:bCs w:val="0"/>
          <w:caps w:val="0"/>
          <w:color w:val="224B91" w:themeColor="accent1"/>
          <w:shd w:val="clear" w:color="auto" w:fill="FFFFFF"/>
        </w:rPr>
        <w:t>EXAMPLE SCHEME RULES TABLE OF CONTENTS</w:t>
      </w:r>
    </w:p>
    <w:p w14:paraId="605C088F" w14:textId="77777777" w:rsidR="00027543" w:rsidRPr="00027543" w:rsidRDefault="00027543" w:rsidP="00027543">
      <w:pPr>
        <w:rPr>
          <w:rFonts w:ascii="Avenir" w:hAnsi="Avenir" w:cstheme="minorHAnsi"/>
        </w:rPr>
      </w:pPr>
    </w:p>
    <w:p w14:paraId="45C14525" w14:textId="77777777" w:rsidR="00027543" w:rsidRPr="00027543" w:rsidRDefault="00027543" w:rsidP="00027543">
      <w:pPr>
        <w:pStyle w:val="ListParagraph"/>
        <w:numPr>
          <w:ilvl w:val="0"/>
          <w:numId w:val="1"/>
        </w:numPr>
        <w:spacing w:line="360" w:lineRule="auto"/>
        <w:rPr>
          <w:rFonts w:ascii="Avenir" w:hAnsi="Avenir" w:cstheme="minorHAnsi"/>
          <w:b/>
          <w:bCs/>
          <w:sz w:val="20"/>
          <w:szCs w:val="20"/>
        </w:rPr>
      </w:pPr>
      <w:r w:rsidRPr="00027543">
        <w:rPr>
          <w:rFonts w:ascii="Avenir" w:hAnsi="Avenir" w:cstheme="minorHAnsi"/>
          <w:b/>
          <w:bCs/>
          <w:sz w:val="20"/>
          <w:szCs w:val="20"/>
        </w:rPr>
        <w:t>Document Information</w:t>
      </w:r>
    </w:p>
    <w:p w14:paraId="22866533" w14:textId="77777777" w:rsidR="00027543" w:rsidRPr="00027543" w:rsidRDefault="00027543" w:rsidP="00027543">
      <w:pPr>
        <w:pStyle w:val="ListParagraph"/>
        <w:spacing w:line="360" w:lineRule="auto"/>
        <w:ind w:left="360"/>
        <w:rPr>
          <w:rFonts w:ascii="Avenir" w:hAnsi="Avenir" w:cstheme="minorHAnsi"/>
          <w:sz w:val="20"/>
          <w:szCs w:val="20"/>
        </w:rPr>
      </w:pPr>
      <w:r w:rsidRPr="00027543">
        <w:rPr>
          <w:rFonts w:ascii="Avenir" w:hAnsi="Avenir" w:cstheme="minorHAnsi"/>
          <w:b/>
          <w:sz w:val="20"/>
          <w:szCs w:val="20"/>
        </w:rPr>
        <w:t>Purpose of the Document</w:t>
      </w:r>
      <w:r w:rsidRPr="00027543">
        <w:rPr>
          <w:rFonts w:ascii="Avenir" w:hAnsi="Avenir" w:cstheme="minorHAnsi"/>
          <w:sz w:val="20"/>
          <w:szCs w:val="20"/>
        </w:rPr>
        <w:br/>
        <w:t>Define the scheme (high level)</w:t>
      </w:r>
    </w:p>
    <w:p w14:paraId="18E51751" w14:textId="77777777" w:rsidR="00027543" w:rsidRPr="00027543" w:rsidRDefault="00027543" w:rsidP="00027543">
      <w:pPr>
        <w:pStyle w:val="ListParagraph"/>
        <w:spacing w:line="360" w:lineRule="auto"/>
        <w:ind w:left="360"/>
        <w:rPr>
          <w:rFonts w:ascii="Avenir" w:hAnsi="Avenir" w:cstheme="minorHAnsi"/>
          <w:b/>
          <w:sz w:val="20"/>
          <w:szCs w:val="20"/>
        </w:rPr>
      </w:pPr>
      <w:r w:rsidRPr="00027543">
        <w:rPr>
          <w:rFonts w:ascii="Avenir" w:hAnsi="Avenir" w:cstheme="minorHAnsi"/>
          <w:sz w:val="20"/>
          <w:szCs w:val="20"/>
        </w:rPr>
        <w:t>Relevant governing bodies (high level)</w:t>
      </w:r>
    </w:p>
    <w:p w14:paraId="27BC4456" w14:textId="35CBEC13" w:rsidR="00027543" w:rsidRDefault="00027543" w:rsidP="00027543">
      <w:pPr>
        <w:pStyle w:val="ListParagraph"/>
        <w:spacing w:line="360" w:lineRule="auto"/>
        <w:ind w:left="360"/>
        <w:rPr>
          <w:rFonts w:ascii="Avenir" w:hAnsi="Avenir" w:cstheme="minorHAnsi"/>
          <w:sz w:val="20"/>
          <w:szCs w:val="20"/>
        </w:rPr>
      </w:pPr>
      <w:r w:rsidRPr="00027543">
        <w:rPr>
          <w:rFonts w:ascii="Avenir" w:hAnsi="Avenir" w:cstheme="minorHAnsi"/>
          <w:b/>
          <w:sz w:val="20"/>
          <w:szCs w:val="20"/>
        </w:rPr>
        <w:t xml:space="preserve">List of Defined Terms and Acronyms </w:t>
      </w:r>
      <w:r w:rsidRPr="00027543">
        <w:rPr>
          <w:rFonts w:ascii="Avenir" w:hAnsi="Avenir" w:cstheme="minorHAnsi"/>
          <w:sz w:val="20"/>
          <w:szCs w:val="20"/>
        </w:rPr>
        <w:t>relevant to the document</w:t>
      </w:r>
    </w:p>
    <w:p w14:paraId="7C965CC6" w14:textId="77777777" w:rsidR="00027543" w:rsidRPr="00027543" w:rsidRDefault="00027543" w:rsidP="00027543">
      <w:pPr>
        <w:pStyle w:val="ListParagraph"/>
        <w:spacing w:line="360" w:lineRule="auto"/>
        <w:ind w:left="360"/>
        <w:rPr>
          <w:rFonts w:ascii="Avenir" w:hAnsi="Avenir" w:cstheme="minorHAnsi"/>
          <w:b/>
          <w:sz w:val="20"/>
          <w:szCs w:val="20"/>
        </w:rPr>
      </w:pPr>
      <w:r w:rsidRPr="00027543">
        <w:rPr>
          <w:rFonts w:ascii="Avenir" w:hAnsi="Avenir" w:cstheme="minorHAnsi"/>
          <w:b/>
          <w:sz w:val="20"/>
          <w:szCs w:val="20"/>
        </w:rPr>
        <w:t xml:space="preserve">Document Versioning </w:t>
      </w:r>
      <w:r w:rsidRPr="00027543">
        <w:rPr>
          <w:rFonts w:ascii="Avenir" w:hAnsi="Avenir" w:cstheme="minorHAnsi"/>
          <w:sz w:val="20"/>
          <w:szCs w:val="20"/>
        </w:rPr>
        <w:t>(when was this document approved)</w:t>
      </w:r>
    </w:p>
    <w:p w14:paraId="71700E02" w14:textId="77777777" w:rsidR="008B72EF" w:rsidRDefault="00027543" w:rsidP="00B70D5B">
      <w:pPr>
        <w:pStyle w:val="ListParagraph"/>
        <w:spacing w:line="360" w:lineRule="auto"/>
        <w:ind w:left="360"/>
        <w:rPr>
          <w:rFonts w:ascii="Avenir" w:hAnsi="Avenir" w:cstheme="minorHAnsi"/>
          <w:sz w:val="20"/>
          <w:szCs w:val="20"/>
        </w:rPr>
      </w:pPr>
      <w:r w:rsidRPr="00027543">
        <w:rPr>
          <w:rFonts w:ascii="Avenir" w:hAnsi="Avenir" w:cstheme="minorHAnsi"/>
          <w:b/>
          <w:sz w:val="20"/>
          <w:szCs w:val="20"/>
        </w:rPr>
        <w:t xml:space="preserve">Related Documents </w:t>
      </w:r>
      <w:r w:rsidRPr="00027543">
        <w:rPr>
          <w:rFonts w:ascii="Avenir" w:hAnsi="Avenir" w:cstheme="minorHAnsi"/>
          <w:sz w:val="20"/>
          <w:szCs w:val="20"/>
        </w:rPr>
        <w:t>(references or appendices)</w:t>
      </w:r>
    </w:p>
    <w:p w14:paraId="4490BF11" w14:textId="6EFCF93B" w:rsidR="00027543" w:rsidRPr="00926EA3" w:rsidRDefault="008B72EF" w:rsidP="00B70D5B">
      <w:pPr>
        <w:pStyle w:val="ListParagraph"/>
        <w:spacing w:line="360" w:lineRule="auto"/>
        <w:ind w:left="360"/>
        <w:rPr>
          <w:rFonts w:ascii="Avenir" w:hAnsi="Avenir" w:cstheme="minorHAnsi"/>
          <w:b/>
          <w:bCs/>
          <w:sz w:val="20"/>
          <w:szCs w:val="20"/>
        </w:rPr>
      </w:pPr>
      <w:r w:rsidRPr="003A5E35">
        <w:rPr>
          <w:rFonts w:ascii="Avenir" w:hAnsi="Avenir" w:cstheme="minorHAnsi"/>
          <w:b/>
          <w:bCs/>
          <w:sz w:val="20"/>
          <w:szCs w:val="20"/>
        </w:rPr>
        <w:t>Use of Variable</w:t>
      </w:r>
      <w:r w:rsidR="00B70D5B" w:rsidRPr="003A5E35">
        <w:rPr>
          <w:rFonts w:ascii="Avenir" w:hAnsi="Avenir" w:cstheme="minorHAnsi"/>
          <w:b/>
          <w:bCs/>
          <w:sz w:val="20"/>
          <w:szCs w:val="20"/>
        </w:rPr>
        <w:br/>
      </w:r>
    </w:p>
    <w:p w14:paraId="7FFED1ED" w14:textId="77777777" w:rsidR="00027543" w:rsidRPr="00027543" w:rsidRDefault="00027543" w:rsidP="00027543">
      <w:pPr>
        <w:pStyle w:val="ListParagraph"/>
        <w:numPr>
          <w:ilvl w:val="0"/>
          <w:numId w:val="1"/>
        </w:numPr>
        <w:spacing w:line="360" w:lineRule="auto"/>
        <w:rPr>
          <w:rFonts w:ascii="Avenir" w:hAnsi="Avenir" w:cstheme="minorHAnsi"/>
          <w:b/>
          <w:bCs/>
          <w:sz w:val="20"/>
          <w:szCs w:val="20"/>
        </w:rPr>
      </w:pPr>
      <w:r w:rsidRPr="00027543">
        <w:rPr>
          <w:rFonts w:ascii="Avenir" w:hAnsi="Avenir" w:cstheme="minorHAnsi"/>
          <w:b/>
          <w:bCs/>
          <w:sz w:val="20"/>
          <w:szCs w:val="20"/>
        </w:rPr>
        <w:t>Scheme Objectives</w:t>
      </w:r>
    </w:p>
    <w:p w14:paraId="6DC880BC" w14:textId="1778355C" w:rsidR="00027543" w:rsidRPr="00027543" w:rsidRDefault="00926EA3" w:rsidP="00027543">
      <w:pPr>
        <w:pStyle w:val="ListParagraph"/>
        <w:spacing w:line="360" w:lineRule="auto"/>
        <w:ind w:left="360"/>
        <w:rPr>
          <w:rFonts w:ascii="Avenir" w:hAnsi="Avenir" w:cstheme="minorHAnsi"/>
          <w:sz w:val="20"/>
          <w:szCs w:val="20"/>
        </w:rPr>
      </w:pPr>
      <w:r>
        <w:rPr>
          <w:rFonts w:ascii="Avenir" w:hAnsi="Avenir" w:cstheme="minorHAnsi"/>
          <w:sz w:val="20"/>
          <w:szCs w:val="20"/>
        </w:rPr>
        <w:t>Scheme Background</w:t>
      </w:r>
    </w:p>
    <w:p w14:paraId="3FFF8E14" w14:textId="77777777" w:rsidR="00027543" w:rsidRPr="00027543" w:rsidRDefault="00027543" w:rsidP="00027543">
      <w:pPr>
        <w:pStyle w:val="ListParagraph"/>
        <w:spacing w:line="360" w:lineRule="auto"/>
        <w:ind w:left="360"/>
        <w:rPr>
          <w:rFonts w:ascii="Avenir" w:hAnsi="Avenir" w:cstheme="minorHAnsi"/>
          <w:b/>
          <w:sz w:val="20"/>
          <w:szCs w:val="20"/>
        </w:rPr>
      </w:pPr>
      <w:r w:rsidRPr="00027543">
        <w:rPr>
          <w:rFonts w:ascii="Avenir" w:hAnsi="Avenir" w:cstheme="minorHAnsi"/>
          <w:b/>
          <w:sz w:val="20"/>
          <w:szCs w:val="20"/>
        </w:rPr>
        <w:t xml:space="preserve">About the scheme   </w:t>
      </w:r>
    </w:p>
    <w:p w14:paraId="49FA70C1" w14:textId="77777777" w:rsidR="00027543" w:rsidRPr="00027543" w:rsidRDefault="00027543" w:rsidP="00027543">
      <w:pPr>
        <w:pStyle w:val="ListParagraph"/>
        <w:spacing w:line="360" w:lineRule="auto"/>
        <w:ind w:left="360"/>
        <w:rPr>
          <w:rFonts w:ascii="Avenir" w:hAnsi="Avenir" w:cstheme="minorHAnsi"/>
          <w:sz w:val="20"/>
          <w:szCs w:val="20"/>
        </w:rPr>
      </w:pPr>
      <w:r w:rsidRPr="00027543">
        <w:rPr>
          <w:rFonts w:ascii="Avenir" w:hAnsi="Avenir" w:cstheme="minorHAnsi"/>
          <w:sz w:val="20"/>
          <w:szCs w:val="20"/>
        </w:rPr>
        <w:t>Scheme objectives</w:t>
      </w:r>
    </w:p>
    <w:p w14:paraId="27C46DA3" w14:textId="77777777" w:rsidR="00027543" w:rsidRPr="00027543" w:rsidRDefault="00027543" w:rsidP="00027543">
      <w:pPr>
        <w:pStyle w:val="ListParagraph"/>
        <w:spacing w:line="360" w:lineRule="auto"/>
        <w:ind w:left="360"/>
        <w:rPr>
          <w:rFonts w:ascii="Avenir" w:hAnsi="Avenir" w:cstheme="minorHAnsi"/>
          <w:sz w:val="20"/>
          <w:szCs w:val="20"/>
        </w:rPr>
      </w:pPr>
      <w:r w:rsidRPr="00027543">
        <w:rPr>
          <w:rFonts w:ascii="Avenir" w:hAnsi="Avenir" w:cstheme="minorHAnsi"/>
          <w:sz w:val="20"/>
          <w:szCs w:val="20"/>
        </w:rPr>
        <w:t>Supported use cases (high level)</w:t>
      </w:r>
    </w:p>
    <w:p w14:paraId="35AED1AB" w14:textId="77777777" w:rsidR="00027543" w:rsidRPr="00027543" w:rsidRDefault="00027543" w:rsidP="00027543">
      <w:pPr>
        <w:pStyle w:val="ListParagraph"/>
        <w:spacing w:line="360" w:lineRule="auto"/>
        <w:ind w:left="288" w:firstLine="72"/>
        <w:rPr>
          <w:rFonts w:ascii="Avenir" w:hAnsi="Avenir" w:cstheme="minorHAnsi"/>
          <w:b/>
          <w:bCs/>
          <w:sz w:val="20"/>
          <w:szCs w:val="20"/>
        </w:rPr>
      </w:pPr>
      <w:r w:rsidRPr="00027543">
        <w:rPr>
          <w:rFonts w:ascii="Avenir" w:hAnsi="Avenir" w:cstheme="minorHAnsi"/>
          <w:b/>
          <w:bCs/>
          <w:sz w:val="20"/>
          <w:szCs w:val="20"/>
        </w:rPr>
        <w:t>Scope of scheme</w:t>
      </w:r>
    </w:p>
    <w:p w14:paraId="0EAE6397" w14:textId="77777777" w:rsidR="00027543" w:rsidRPr="00027543" w:rsidRDefault="00027543" w:rsidP="00027543">
      <w:pPr>
        <w:pStyle w:val="ListParagraph"/>
        <w:spacing w:line="360" w:lineRule="auto"/>
        <w:ind w:left="288" w:firstLine="72"/>
        <w:rPr>
          <w:rFonts w:ascii="Avenir" w:hAnsi="Avenir" w:cstheme="minorHAnsi"/>
          <w:bCs/>
          <w:sz w:val="20"/>
          <w:szCs w:val="20"/>
        </w:rPr>
      </w:pPr>
      <w:r w:rsidRPr="00027543">
        <w:rPr>
          <w:rFonts w:ascii="Avenir" w:hAnsi="Avenir" w:cstheme="minorHAnsi"/>
          <w:bCs/>
          <w:sz w:val="20"/>
          <w:szCs w:val="20"/>
        </w:rPr>
        <w:t>When is a transfer within bounds of rulebook</w:t>
      </w:r>
    </w:p>
    <w:p w14:paraId="5BF064F1" w14:textId="36B86906" w:rsidR="00027543" w:rsidRPr="00B70D5B" w:rsidRDefault="00027543" w:rsidP="00B70D5B">
      <w:pPr>
        <w:pStyle w:val="ListParagraph"/>
        <w:spacing w:line="360" w:lineRule="auto"/>
        <w:ind w:left="288" w:firstLine="72"/>
        <w:rPr>
          <w:rFonts w:ascii="Avenir" w:hAnsi="Avenir" w:cstheme="minorHAnsi"/>
          <w:bCs/>
          <w:sz w:val="20"/>
          <w:szCs w:val="20"/>
        </w:rPr>
      </w:pPr>
      <w:r w:rsidRPr="00027543">
        <w:rPr>
          <w:rFonts w:ascii="Avenir" w:hAnsi="Avenir" w:cstheme="minorHAnsi"/>
          <w:bCs/>
          <w:sz w:val="20"/>
          <w:szCs w:val="20"/>
        </w:rPr>
        <w:t>Types of entities involved in a transfer</w:t>
      </w:r>
      <w:r w:rsidR="00B70D5B">
        <w:rPr>
          <w:rFonts w:ascii="Avenir" w:hAnsi="Avenir" w:cstheme="minorHAnsi"/>
          <w:bCs/>
          <w:sz w:val="20"/>
          <w:szCs w:val="20"/>
        </w:rPr>
        <w:br/>
      </w:r>
    </w:p>
    <w:p w14:paraId="305D5548" w14:textId="77777777" w:rsidR="00027543" w:rsidRPr="00027543" w:rsidRDefault="00027543" w:rsidP="00027543">
      <w:pPr>
        <w:pStyle w:val="ListParagraph"/>
        <w:numPr>
          <w:ilvl w:val="0"/>
          <w:numId w:val="1"/>
        </w:numPr>
        <w:spacing w:line="360" w:lineRule="auto"/>
        <w:rPr>
          <w:rFonts w:ascii="Avenir" w:hAnsi="Avenir" w:cstheme="minorHAnsi"/>
          <w:b/>
          <w:sz w:val="20"/>
          <w:szCs w:val="20"/>
        </w:rPr>
      </w:pPr>
      <w:r w:rsidRPr="00027543">
        <w:rPr>
          <w:rFonts w:ascii="Avenir" w:hAnsi="Avenir" w:cstheme="minorHAnsi"/>
          <w:b/>
          <w:sz w:val="20"/>
          <w:szCs w:val="20"/>
        </w:rPr>
        <w:t>Scheme Governance</w:t>
      </w:r>
    </w:p>
    <w:p w14:paraId="079D7BEF" w14:textId="77777777" w:rsidR="00027543" w:rsidRPr="00027543" w:rsidRDefault="00027543" w:rsidP="00027543">
      <w:pPr>
        <w:pStyle w:val="ListParagraph"/>
        <w:spacing w:line="360" w:lineRule="auto"/>
        <w:ind w:left="360"/>
        <w:rPr>
          <w:rFonts w:ascii="Avenir" w:hAnsi="Avenir" w:cstheme="minorHAnsi"/>
          <w:b/>
          <w:sz w:val="20"/>
          <w:szCs w:val="20"/>
        </w:rPr>
      </w:pPr>
      <w:r w:rsidRPr="00027543">
        <w:rPr>
          <w:rFonts w:ascii="Avenir" w:hAnsi="Avenir" w:cstheme="minorHAnsi"/>
          <w:b/>
          <w:sz w:val="20"/>
          <w:szCs w:val="20"/>
        </w:rPr>
        <w:t>Governing laws</w:t>
      </w:r>
    </w:p>
    <w:p w14:paraId="3FA82BF5" w14:textId="77777777" w:rsidR="00027543" w:rsidRPr="00027543" w:rsidRDefault="00027543" w:rsidP="00027543">
      <w:pPr>
        <w:pStyle w:val="ListParagraph"/>
        <w:spacing w:line="360" w:lineRule="auto"/>
        <w:ind w:left="360"/>
        <w:rPr>
          <w:rFonts w:ascii="Avenir" w:hAnsi="Avenir" w:cstheme="minorHAnsi"/>
          <w:sz w:val="20"/>
          <w:szCs w:val="20"/>
        </w:rPr>
      </w:pPr>
      <w:r w:rsidRPr="00027543">
        <w:rPr>
          <w:rFonts w:ascii="Avenir" w:hAnsi="Avenir" w:cstheme="minorHAnsi"/>
          <w:sz w:val="20"/>
          <w:szCs w:val="20"/>
        </w:rPr>
        <w:t>Relevant jurisdiction(s) and regulations</w:t>
      </w:r>
    </w:p>
    <w:p w14:paraId="31AB2F52" w14:textId="77777777" w:rsidR="00027543" w:rsidRPr="00027543" w:rsidRDefault="00027543" w:rsidP="00027543">
      <w:pPr>
        <w:pStyle w:val="ListParagraph"/>
        <w:spacing w:line="360" w:lineRule="auto"/>
        <w:ind w:left="360"/>
        <w:rPr>
          <w:rFonts w:ascii="Avenir" w:hAnsi="Avenir" w:cstheme="minorHAnsi"/>
          <w:b/>
          <w:sz w:val="20"/>
          <w:szCs w:val="20"/>
        </w:rPr>
      </w:pPr>
      <w:r w:rsidRPr="00027543">
        <w:rPr>
          <w:rFonts w:ascii="Avenir" w:hAnsi="Avenir" w:cstheme="minorHAnsi"/>
          <w:b/>
          <w:sz w:val="20"/>
          <w:szCs w:val="20"/>
        </w:rPr>
        <w:t>Overview of governance model</w:t>
      </w:r>
    </w:p>
    <w:p w14:paraId="0F43240D" w14:textId="77777777" w:rsidR="00027543" w:rsidRPr="00027543" w:rsidRDefault="00027543" w:rsidP="00027543">
      <w:pPr>
        <w:pStyle w:val="ListParagraph"/>
        <w:spacing w:line="360" w:lineRule="auto"/>
        <w:ind w:left="360"/>
        <w:rPr>
          <w:rFonts w:ascii="Avenir" w:hAnsi="Avenir" w:cstheme="minorHAnsi"/>
          <w:b/>
          <w:sz w:val="20"/>
          <w:szCs w:val="20"/>
        </w:rPr>
      </w:pPr>
      <w:r w:rsidRPr="00027543">
        <w:rPr>
          <w:rFonts w:ascii="Avenir" w:hAnsi="Avenir" w:cstheme="minorHAnsi"/>
          <w:b/>
          <w:sz w:val="20"/>
          <w:szCs w:val="20"/>
        </w:rPr>
        <w:t>How rules can be amended</w:t>
      </w:r>
    </w:p>
    <w:p w14:paraId="1DCAB03C" w14:textId="77777777" w:rsidR="00027543" w:rsidRPr="00027543" w:rsidRDefault="00027543" w:rsidP="00027543">
      <w:pPr>
        <w:pStyle w:val="ListParagraph"/>
        <w:spacing w:line="360" w:lineRule="auto"/>
        <w:ind w:left="360"/>
        <w:rPr>
          <w:rFonts w:ascii="Avenir" w:hAnsi="Avenir" w:cstheme="minorHAnsi"/>
          <w:sz w:val="20"/>
          <w:szCs w:val="20"/>
        </w:rPr>
      </w:pPr>
      <w:r w:rsidRPr="00027543">
        <w:rPr>
          <w:rFonts w:ascii="Avenir" w:hAnsi="Avenir" w:cstheme="minorHAnsi"/>
          <w:sz w:val="20"/>
          <w:szCs w:val="20"/>
        </w:rPr>
        <w:t>Entities that have a ‘say’ and to what degree / level of formality</w:t>
      </w:r>
    </w:p>
    <w:p w14:paraId="03D7B967" w14:textId="77777777" w:rsidR="00027543" w:rsidRPr="00027543" w:rsidRDefault="00027543" w:rsidP="00027543">
      <w:pPr>
        <w:pStyle w:val="ListParagraph"/>
        <w:spacing w:line="360" w:lineRule="auto"/>
        <w:ind w:left="360"/>
        <w:rPr>
          <w:rFonts w:ascii="Avenir" w:hAnsi="Avenir" w:cstheme="minorHAnsi"/>
          <w:sz w:val="20"/>
          <w:szCs w:val="20"/>
        </w:rPr>
      </w:pPr>
      <w:r w:rsidRPr="00027543">
        <w:rPr>
          <w:rFonts w:ascii="Avenir" w:hAnsi="Avenir" w:cstheme="minorHAnsi"/>
          <w:sz w:val="20"/>
          <w:szCs w:val="20"/>
        </w:rPr>
        <w:t>Engagement mechanisms</w:t>
      </w:r>
    </w:p>
    <w:p w14:paraId="3A10F342" w14:textId="25E16B0B" w:rsidR="00027543" w:rsidRDefault="00027543" w:rsidP="00B70D5B">
      <w:pPr>
        <w:pStyle w:val="ListParagraph"/>
        <w:spacing w:line="360" w:lineRule="auto"/>
        <w:ind w:left="360"/>
        <w:rPr>
          <w:rFonts w:ascii="Avenir" w:hAnsi="Avenir" w:cstheme="minorHAnsi"/>
          <w:sz w:val="20"/>
          <w:szCs w:val="20"/>
        </w:rPr>
      </w:pPr>
      <w:r w:rsidRPr="00027543">
        <w:rPr>
          <w:rFonts w:ascii="Avenir" w:hAnsi="Avenir" w:cstheme="minorHAnsi"/>
          <w:sz w:val="20"/>
          <w:szCs w:val="20"/>
        </w:rPr>
        <w:t>Rule changes approval process</w:t>
      </w:r>
      <w:r w:rsidR="00B70D5B">
        <w:rPr>
          <w:rFonts w:ascii="Avenir" w:hAnsi="Avenir" w:cstheme="minorHAnsi"/>
          <w:sz w:val="20"/>
          <w:szCs w:val="20"/>
        </w:rPr>
        <w:br/>
      </w:r>
    </w:p>
    <w:p w14:paraId="53D4467C" w14:textId="11A0D373" w:rsidR="00B70D5B" w:rsidRDefault="00B70D5B" w:rsidP="00B70D5B">
      <w:pPr>
        <w:pStyle w:val="ListParagraph"/>
        <w:spacing w:line="360" w:lineRule="auto"/>
        <w:ind w:left="360"/>
        <w:rPr>
          <w:rFonts w:ascii="Avenir" w:hAnsi="Avenir" w:cstheme="minorHAnsi"/>
          <w:sz w:val="20"/>
          <w:szCs w:val="20"/>
        </w:rPr>
      </w:pPr>
    </w:p>
    <w:p w14:paraId="61DC926E" w14:textId="65EA73E1" w:rsidR="00B70D5B" w:rsidRDefault="00B70D5B" w:rsidP="00B70D5B">
      <w:pPr>
        <w:pStyle w:val="ListParagraph"/>
        <w:spacing w:line="360" w:lineRule="auto"/>
        <w:ind w:left="360"/>
        <w:rPr>
          <w:rFonts w:ascii="Avenir" w:hAnsi="Avenir" w:cstheme="minorHAnsi"/>
          <w:sz w:val="20"/>
          <w:szCs w:val="20"/>
        </w:rPr>
      </w:pPr>
    </w:p>
    <w:p w14:paraId="6E6C6A7C" w14:textId="43D4033F" w:rsidR="00B70D5B" w:rsidRPr="00B70D5B" w:rsidRDefault="00D606D5" w:rsidP="00B70D5B">
      <w:pPr>
        <w:pStyle w:val="ListParagraph"/>
        <w:spacing w:line="360" w:lineRule="auto"/>
        <w:ind w:left="360"/>
        <w:rPr>
          <w:rFonts w:ascii="Avenir" w:hAnsi="Avenir" w:cstheme="minorHAnsi"/>
          <w:sz w:val="20"/>
          <w:szCs w:val="20"/>
        </w:rPr>
      </w:pPr>
      <w:r w:rsidRPr="00AD08C8">
        <w:rPr>
          <w:b/>
          <w:bCs/>
          <w:caps/>
          <w:noProof/>
          <w:color w:val="224B91" w:themeColor="accent1"/>
          <w:shd w:val="clear" w:color="auto" w:fill="FFFFFF"/>
          <w:lang w:eastAsia="ja-JP"/>
        </w:rPr>
        <w:lastRenderedPageBreak/>
        <mc:AlternateContent>
          <mc:Choice Requires="wps">
            <w:drawing>
              <wp:anchor distT="182880" distB="182880" distL="274320" distR="274320" simplePos="0" relativeHeight="251663360" behindDoc="0" locked="0" layoutInCell="1" allowOverlap="0" wp14:anchorId="5CE75ED9" wp14:editId="5023EC55">
                <wp:simplePos x="0" y="0"/>
                <wp:positionH relativeFrom="margin">
                  <wp:posOffset>4406900</wp:posOffset>
                </wp:positionH>
                <wp:positionV relativeFrom="margin">
                  <wp:posOffset>259080</wp:posOffset>
                </wp:positionV>
                <wp:extent cx="2240280" cy="7912100"/>
                <wp:effectExtent l="0" t="0" r="7620" b="0"/>
                <wp:wrapSquare wrapText="bothSides"/>
                <wp:docPr id="4" name="Text Box 4" descr="Text box sidebar"/>
                <wp:cNvGraphicFramePr/>
                <a:graphic xmlns:a="http://schemas.openxmlformats.org/drawingml/2006/main">
                  <a:graphicData uri="http://schemas.microsoft.com/office/word/2010/wordprocessingShape">
                    <wps:wsp>
                      <wps:cNvSpPr txBox="1"/>
                      <wps:spPr>
                        <a:xfrm>
                          <a:off x="0" y="0"/>
                          <a:ext cx="2240280" cy="791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D606D5" w14:paraId="666A11DC" w14:textId="77777777" w:rsidTr="00DC0B1C">
                              <w:trPr>
                                <w:trHeight w:hRule="exact" w:val="12348"/>
                              </w:trPr>
                              <w:tc>
                                <w:tcPr>
                                  <w:tcW w:w="3518" w:type="dxa"/>
                                  <w:shd w:val="clear" w:color="auto" w:fill="19386C" w:themeFill="accent1" w:themeFillShade="BF"/>
                                  <w:tcMar>
                                    <w:top w:w="288" w:type="dxa"/>
                                    <w:bottom w:w="288" w:type="dxa"/>
                                  </w:tcMar>
                                </w:tcPr>
                                <w:p w14:paraId="74B54CEE" w14:textId="0674953B" w:rsidR="00D606D5" w:rsidRDefault="00904513" w:rsidP="00F8252D">
                                  <w:pPr>
                                    <w:pStyle w:val="BlockHeading"/>
                                  </w:pPr>
                                  <w:r>
                                    <w:t xml:space="preserve">KEY </w:t>
                                  </w:r>
                                  <w:r w:rsidR="00D606D5">
                                    <w:t>Rulebook considerations</w:t>
                                  </w:r>
                                </w:p>
                                <w:p w14:paraId="63E0E0F3" w14:textId="1C0C23E1" w:rsidR="00D606D5" w:rsidRDefault="001E4DF6" w:rsidP="00027543">
                                  <w:pPr>
                                    <w:pStyle w:val="BlockText"/>
                                  </w:pPr>
                                  <w:r>
                                    <w:t>SCHEME ENTITIES AND CORRESPONDING ROLES AND RESPONSIBILITIES</w:t>
                                  </w:r>
                                </w:p>
                                <w:p w14:paraId="18C92630" w14:textId="50DFCFC5" w:rsidR="001E4DF6" w:rsidRDefault="00FA3D1F" w:rsidP="00027543">
                                  <w:pPr>
                                    <w:pStyle w:val="BlockText"/>
                                  </w:pPr>
                                  <w:r>
                                    <w:t>Entity type (acknowledged by regulatory license) may determine what types of entities can serve in what role within the scheme. When possible, i</w:t>
                                  </w:r>
                                  <w:r w:rsidR="001E4DF6">
                                    <w:t xml:space="preserve">t is important </w:t>
                                  </w:r>
                                  <w:r>
                                    <w:t xml:space="preserve">for scheme rules </w:t>
                                  </w:r>
                                  <w:r w:rsidR="001E4DF6">
                                    <w:t xml:space="preserve">to acknowledge the expansive role various types of institutions </w:t>
                                  </w:r>
                                  <w:r w:rsidR="00470CF4">
                                    <w:t>may play</w:t>
                                  </w:r>
                                  <w:r w:rsidR="001E4DF6">
                                    <w:t xml:space="preserve"> in the payments value chain. </w:t>
                                  </w:r>
                                  <w:r>
                                    <w:t xml:space="preserve">In some instances, players may serve in multiple roles. As such, responsibilities are often outlined by role rather than entity type. Responsibilities often include what entities </w:t>
                                  </w:r>
                                  <w:r w:rsidRPr="00FA3D1F">
                                    <w:rPr>
                                      <w:i/>
                                    </w:rPr>
                                    <w:t>may</w:t>
                                  </w:r>
                                  <w:r>
                                    <w:t xml:space="preserve"> and </w:t>
                                  </w:r>
                                  <w:r w:rsidRPr="00FA3D1F">
                                    <w:rPr>
                                      <w:i/>
                                    </w:rPr>
                                    <w:t>must</w:t>
                                  </w:r>
                                  <w:r>
                                    <w:t xml:space="preserve"> do to comply with scheme rules.</w:t>
                                  </w:r>
                                </w:p>
                                <w:p w14:paraId="097FE462" w14:textId="0429D24A" w:rsidR="00D606D5" w:rsidRDefault="00FA3D1F" w:rsidP="00027543">
                                  <w:pPr>
                                    <w:pStyle w:val="BlockText"/>
                                  </w:pPr>
                                  <w:r>
                                    <w:t>MESSAGING</w:t>
                                  </w:r>
                                </w:p>
                                <w:p w14:paraId="53750945" w14:textId="28D58ADD" w:rsidR="00FA3D1F" w:rsidRDefault="00FA3D1F" w:rsidP="00027543">
                                  <w:pPr>
                                    <w:pStyle w:val="BlockText"/>
                                  </w:pPr>
                                  <w:r>
                                    <w:t>Messages to support a real-time retail payment scheme may be quite complex. It is critical to outline both the messaging s</w:t>
                                  </w:r>
                                  <w:r w:rsidR="00026792">
                                    <w:t>t</w:t>
                                  </w:r>
                                  <w:r>
                                    <w:t xml:space="preserve">andards, and to detail each of the financial and non-financial messages that may be supported. </w:t>
                                  </w:r>
                                </w:p>
                                <w:p w14:paraId="7C5C8E29" w14:textId="77777777" w:rsidR="00D606D5" w:rsidRPr="00D606D5" w:rsidRDefault="00D606D5" w:rsidP="00027543">
                                  <w:pPr>
                                    <w:pStyle w:val="BlockText"/>
                                  </w:pPr>
                                </w:p>
                                <w:p w14:paraId="5FB96524" w14:textId="4BF1723C" w:rsidR="00D606D5" w:rsidRPr="00DC0B1C" w:rsidRDefault="00D606D5" w:rsidP="00027543">
                                  <w:pPr>
                                    <w:pStyle w:val="BlockText"/>
                                  </w:pPr>
                                </w:p>
                              </w:tc>
                            </w:tr>
                            <w:tr w:rsidR="00D606D5" w14:paraId="2F10CBDB" w14:textId="77777777">
                              <w:trPr>
                                <w:trHeight w:hRule="exact" w:val="288"/>
                              </w:trPr>
                              <w:tc>
                                <w:tcPr>
                                  <w:tcW w:w="3518" w:type="dxa"/>
                                </w:tcPr>
                                <w:p w14:paraId="0E3C0176" w14:textId="77777777" w:rsidR="00D606D5" w:rsidRDefault="00D606D5" w:rsidP="00F8252D"/>
                              </w:tc>
                            </w:tr>
                            <w:tr w:rsidR="00D606D5" w14:paraId="11D5D4B6" w14:textId="77777777">
                              <w:trPr>
                                <w:trHeight w:hRule="exact" w:val="3312"/>
                              </w:trPr>
                              <w:tc>
                                <w:tcPr>
                                  <w:tcW w:w="3518" w:type="dxa"/>
                                </w:tcPr>
                                <w:p w14:paraId="32696F0B" w14:textId="77777777" w:rsidR="00D606D5" w:rsidRDefault="00D606D5" w:rsidP="00F8252D"/>
                              </w:tc>
                            </w:tr>
                          </w:tbl>
                          <w:p w14:paraId="534E0A2E" w14:textId="77777777" w:rsidR="00D606D5" w:rsidRDefault="00D606D5" w:rsidP="00D606D5">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75ED9" id="Text Box 4" o:spid="_x0000_s1027" type="#_x0000_t202" alt="Text box sidebar" style="position:absolute;left:0;text-align:left;margin-left:347pt;margin-top:20.4pt;width:176.4pt;height:623pt;z-index:251663360;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&#13;&#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D606D5" w14:paraId="666A11DC" w14:textId="77777777" w:rsidTr="00DC0B1C">
                        <w:trPr>
                          <w:trHeight w:hRule="exact" w:val="12348"/>
                        </w:trPr>
                        <w:tc>
                          <w:tcPr>
                            <w:tcW w:w="3518" w:type="dxa"/>
                            <w:shd w:val="clear" w:color="auto" w:fill="19386C" w:themeFill="accent1" w:themeFillShade="BF"/>
                            <w:tcMar>
                              <w:top w:w="288" w:type="dxa"/>
                              <w:bottom w:w="288" w:type="dxa"/>
                            </w:tcMar>
                          </w:tcPr>
                          <w:p w14:paraId="74B54CEE" w14:textId="0674953B" w:rsidR="00D606D5" w:rsidRDefault="00904513" w:rsidP="00F8252D">
                            <w:pPr>
                              <w:pStyle w:val="BlockHeading"/>
                            </w:pPr>
                            <w:r>
                              <w:t xml:space="preserve">KEY </w:t>
                            </w:r>
                            <w:r w:rsidR="00D606D5">
                              <w:t>Rulebook considerations</w:t>
                            </w:r>
                          </w:p>
                          <w:p w14:paraId="63E0E0F3" w14:textId="1C0C23E1" w:rsidR="00D606D5" w:rsidRDefault="001E4DF6" w:rsidP="00027543">
                            <w:pPr>
                              <w:pStyle w:val="BlockText"/>
                            </w:pPr>
                            <w:r>
                              <w:t>SCHEME ENTITIES AND CORRESPONDING ROLES AND RESPONSIBILITIES</w:t>
                            </w:r>
                          </w:p>
                          <w:p w14:paraId="18C92630" w14:textId="50DFCFC5" w:rsidR="001E4DF6" w:rsidRDefault="00FA3D1F" w:rsidP="00027543">
                            <w:pPr>
                              <w:pStyle w:val="BlockText"/>
                            </w:pPr>
                            <w:r>
                              <w:t>Entity type (acknowledged by regulatory license) may determine what types of entities can serve in what role within the scheme. When possible, i</w:t>
                            </w:r>
                            <w:r w:rsidR="001E4DF6">
                              <w:t xml:space="preserve">t is important </w:t>
                            </w:r>
                            <w:r>
                              <w:t xml:space="preserve">for scheme rules </w:t>
                            </w:r>
                            <w:r w:rsidR="001E4DF6">
                              <w:t xml:space="preserve">to acknowledge the expansive role various types of institutions </w:t>
                            </w:r>
                            <w:r w:rsidR="00470CF4">
                              <w:t>may play</w:t>
                            </w:r>
                            <w:r w:rsidR="001E4DF6">
                              <w:t xml:space="preserve"> in the payments value chain. </w:t>
                            </w:r>
                            <w:r>
                              <w:t xml:space="preserve">In some instances, players may serve in multiple roles. As such, responsibilities are often outlined by role rather than entity type. Responsibilities often include what entities </w:t>
                            </w:r>
                            <w:r w:rsidRPr="00FA3D1F">
                              <w:rPr>
                                <w:i/>
                              </w:rPr>
                              <w:t>may</w:t>
                            </w:r>
                            <w:r>
                              <w:t xml:space="preserve"> and </w:t>
                            </w:r>
                            <w:r w:rsidRPr="00FA3D1F">
                              <w:rPr>
                                <w:i/>
                              </w:rPr>
                              <w:t>must</w:t>
                            </w:r>
                            <w:r>
                              <w:t xml:space="preserve"> do to comply with scheme rules.</w:t>
                            </w:r>
                          </w:p>
                          <w:p w14:paraId="097FE462" w14:textId="0429D24A" w:rsidR="00D606D5" w:rsidRDefault="00FA3D1F" w:rsidP="00027543">
                            <w:pPr>
                              <w:pStyle w:val="BlockText"/>
                            </w:pPr>
                            <w:r>
                              <w:t>MESSAGING</w:t>
                            </w:r>
                          </w:p>
                          <w:p w14:paraId="53750945" w14:textId="28D58ADD" w:rsidR="00FA3D1F" w:rsidRDefault="00FA3D1F" w:rsidP="00027543">
                            <w:pPr>
                              <w:pStyle w:val="BlockText"/>
                            </w:pPr>
                            <w:r>
                              <w:t>Messages to support a real-time retail payment scheme may be quite complex. It is critical to outline both the messaging s</w:t>
                            </w:r>
                            <w:r w:rsidR="00026792">
                              <w:t>t</w:t>
                            </w:r>
                            <w:r>
                              <w:t xml:space="preserve">andards, and to detail each of the financial and non-financial messages that may be supported. </w:t>
                            </w:r>
                          </w:p>
                          <w:p w14:paraId="7C5C8E29" w14:textId="77777777" w:rsidR="00D606D5" w:rsidRPr="00D606D5" w:rsidRDefault="00D606D5" w:rsidP="00027543">
                            <w:pPr>
                              <w:pStyle w:val="BlockText"/>
                            </w:pPr>
                          </w:p>
                          <w:p w14:paraId="5FB96524" w14:textId="4BF1723C" w:rsidR="00D606D5" w:rsidRPr="00DC0B1C" w:rsidRDefault="00D606D5" w:rsidP="00027543">
                            <w:pPr>
                              <w:pStyle w:val="BlockText"/>
                            </w:pPr>
                          </w:p>
                        </w:tc>
                      </w:tr>
                      <w:tr w:rsidR="00D606D5" w14:paraId="2F10CBDB" w14:textId="77777777">
                        <w:trPr>
                          <w:trHeight w:hRule="exact" w:val="288"/>
                        </w:trPr>
                        <w:tc>
                          <w:tcPr>
                            <w:tcW w:w="3518" w:type="dxa"/>
                          </w:tcPr>
                          <w:p w14:paraId="0E3C0176" w14:textId="77777777" w:rsidR="00D606D5" w:rsidRDefault="00D606D5" w:rsidP="00F8252D"/>
                        </w:tc>
                      </w:tr>
                      <w:tr w:rsidR="00D606D5" w14:paraId="11D5D4B6" w14:textId="77777777">
                        <w:trPr>
                          <w:trHeight w:hRule="exact" w:val="3312"/>
                        </w:trPr>
                        <w:tc>
                          <w:tcPr>
                            <w:tcW w:w="3518" w:type="dxa"/>
                          </w:tcPr>
                          <w:p w14:paraId="32696F0B" w14:textId="77777777" w:rsidR="00D606D5" w:rsidRDefault="00D606D5" w:rsidP="00F8252D"/>
                        </w:tc>
                      </w:tr>
                    </w:tbl>
                    <w:p w14:paraId="534E0A2E" w14:textId="77777777" w:rsidR="00D606D5" w:rsidRDefault="00D606D5" w:rsidP="00D606D5">
                      <w:pPr>
                        <w:pStyle w:val="Caption"/>
                      </w:pPr>
                    </w:p>
                  </w:txbxContent>
                </v:textbox>
                <w10:wrap type="square" anchorx="margin" anchory="margin"/>
              </v:shape>
            </w:pict>
          </mc:Fallback>
        </mc:AlternateContent>
      </w:r>
    </w:p>
    <w:p w14:paraId="60442AFB" w14:textId="77777777" w:rsidR="00B70D5B" w:rsidRDefault="00B70D5B" w:rsidP="00027543">
      <w:pPr>
        <w:pStyle w:val="ListParagraph"/>
        <w:numPr>
          <w:ilvl w:val="0"/>
          <w:numId w:val="1"/>
        </w:numPr>
        <w:spacing w:line="360" w:lineRule="auto"/>
        <w:rPr>
          <w:rFonts w:ascii="Avenir" w:hAnsi="Avenir" w:cstheme="minorHAnsi"/>
          <w:b/>
          <w:sz w:val="20"/>
          <w:szCs w:val="20"/>
        </w:rPr>
        <w:sectPr w:rsidR="00B70D5B">
          <w:footerReference w:type="even" r:id="rId8"/>
          <w:footerReference w:type="default" r:id="rId9"/>
          <w:pgSz w:w="12240" w:h="15840"/>
          <w:pgMar w:top="792" w:right="720" w:bottom="720" w:left="720" w:header="720" w:footer="720" w:gutter="0"/>
          <w:cols w:space="720"/>
          <w:docGrid w:linePitch="360"/>
        </w:sectPr>
      </w:pPr>
    </w:p>
    <w:p w14:paraId="375107D0" w14:textId="6304A252" w:rsidR="00027543" w:rsidRPr="00027543" w:rsidRDefault="00027543" w:rsidP="00027543">
      <w:pPr>
        <w:pStyle w:val="ListParagraph"/>
        <w:numPr>
          <w:ilvl w:val="0"/>
          <w:numId w:val="1"/>
        </w:numPr>
        <w:spacing w:line="360" w:lineRule="auto"/>
        <w:rPr>
          <w:rFonts w:ascii="Avenir" w:hAnsi="Avenir" w:cstheme="minorHAnsi"/>
          <w:b/>
          <w:sz w:val="20"/>
          <w:szCs w:val="20"/>
        </w:rPr>
      </w:pPr>
      <w:r w:rsidRPr="00027543">
        <w:rPr>
          <w:rFonts w:ascii="Avenir" w:hAnsi="Avenir" w:cstheme="minorHAnsi"/>
          <w:b/>
          <w:sz w:val="20"/>
          <w:szCs w:val="20"/>
        </w:rPr>
        <w:t>Scheme Entities</w:t>
      </w:r>
    </w:p>
    <w:p w14:paraId="3AA5926D" w14:textId="42F97B0B" w:rsidR="00027543" w:rsidRPr="00027543" w:rsidRDefault="00027543" w:rsidP="00027543">
      <w:pPr>
        <w:pStyle w:val="ListParagraph"/>
        <w:spacing w:line="360" w:lineRule="auto"/>
        <w:ind w:left="360"/>
        <w:rPr>
          <w:rFonts w:ascii="Avenir" w:hAnsi="Avenir" w:cstheme="minorHAnsi"/>
          <w:b/>
          <w:sz w:val="20"/>
          <w:szCs w:val="20"/>
        </w:rPr>
      </w:pPr>
      <w:r w:rsidRPr="00027543">
        <w:rPr>
          <w:rFonts w:ascii="Avenir" w:hAnsi="Avenir" w:cstheme="minorHAnsi"/>
          <w:b/>
          <w:sz w:val="20"/>
          <w:szCs w:val="20"/>
        </w:rPr>
        <w:t>Scheme roles</w:t>
      </w:r>
    </w:p>
    <w:p w14:paraId="7CEF2D98" w14:textId="77777777" w:rsidR="00027543" w:rsidRPr="00027543" w:rsidRDefault="00027543" w:rsidP="00027543">
      <w:pPr>
        <w:pStyle w:val="ListParagraph"/>
        <w:spacing w:line="360" w:lineRule="auto"/>
        <w:ind w:left="288" w:firstLine="72"/>
        <w:rPr>
          <w:rFonts w:ascii="Avenir" w:hAnsi="Avenir" w:cstheme="minorHAnsi"/>
          <w:sz w:val="20"/>
          <w:szCs w:val="20"/>
        </w:rPr>
      </w:pPr>
      <w:r w:rsidRPr="00027543">
        <w:rPr>
          <w:rFonts w:ascii="Avenir" w:hAnsi="Avenir" w:cstheme="minorHAnsi"/>
          <w:sz w:val="20"/>
          <w:szCs w:val="20"/>
        </w:rPr>
        <w:t>Defines roles</w:t>
      </w:r>
    </w:p>
    <w:p w14:paraId="7EB523CA" w14:textId="43F48B31" w:rsidR="00027543" w:rsidRDefault="00027543" w:rsidP="00027543">
      <w:pPr>
        <w:pStyle w:val="ListParagraph"/>
        <w:spacing w:line="360" w:lineRule="auto"/>
        <w:ind w:left="360"/>
        <w:rPr>
          <w:rFonts w:ascii="Avenir" w:hAnsi="Avenir" w:cstheme="minorHAnsi"/>
          <w:sz w:val="20"/>
          <w:szCs w:val="20"/>
        </w:rPr>
      </w:pPr>
      <w:r w:rsidRPr="00027543">
        <w:rPr>
          <w:rFonts w:ascii="Avenir" w:hAnsi="Avenir" w:cstheme="minorHAnsi"/>
          <w:sz w:val="20"/>
          <w:szCs w:val="20"/>
        </w:rPr>
        <w:t>Types of entities that can play a role in the scheme</w:t>
      </w:r>
    </w:p>
    <w:p w14:paraId="178CB2AA" w14:textId="134CA6F0" w:rsidR="00926EA3" w:rsidRPr="00027543" w:rsidRDefault="00926EA3" w:rsidP="00027543">
      <w:pPr>
        <w:pStyle w:val="ListParagraph"/>
        <w:spacing w:line="360" w:lineRule="auto"/>
        <w:ind w:left="360"/>
        <w:rPr>
          <w:rFonts w:ascii="Avenir" w:hAnsi="Avenir" w:cstheme="minorHAnsi"/>
          <w:sz w:val="20"/>
          <w:szCs w:val="20"/>
        </w:rPr>
      </w:pPr>
      <w:r>
        <w:rPr>
          <w:rFonts w:ascii="Avenir" w:hAnsi="Avenir" w:cstheme="minorHAnsi"/>
          <w:sz w:val="20"/>
          <w:szCs w:val="20"/>
        </w:rPr>
        <w:t xml:space="preserve">Eligibility criteria </w:t>
      </w:r>
    </w:p>
    <w:p w14:paraId="062AFB17" w14:textId="4D2C018A" w:rsidR="00027543" w:rsidRPr="00027543" w:rsidRDefault="008B72EF" w:rsidP="00027543">
      <w:pPr>
        <w:pStyle w:val="ListParagraph"/>
        <w:spacing w:line="360" w:lineRule="auto"/>
        <w:ind w:left="360"/>
        <w:rPr>
          <w:rFonts w:ascii="Avenir" w:hAnsi="Avenir" w:cstheme="minorHAnsi"/>
          <w:sz w:val="20"/>
          <w:szCs w:val="20"/>
        </w:rPr>
      </w:pPr>
      <w:r>
        <w:rPr>
          <w:rFonts w:ascii="Avenir" w:hAnsi="Avenir" w:cstheme="minorHAnsi"/>
          <w:sz w:val="20"/>
          <w:szCs w:val="20"/>
        </w:rPr>
        <w:t>A</w:t>
      </w:r>
      <w:r w:rsidR="00027543" w:rsidRPr="00027543">
        <w:rPr>
          <w:rFonts w:ascii="Avenir" w:hAnsi="Avenir" w:cstheme="minorHAnsi"/>
          <w:sz w:val="20"/>
          <w:szCs w:val="20"/>
        </w:rPr>
        <w:t xml:space="preserve">pplications, approvals, terminations, withdrawals, </w:t>
      </w:r>
      <w:r w:rsidR="00B70D5B">
        <w:rPr>
          <w:rFonts w:ascii="Avenir" w:hAnsi="Avenir" w:cstheme="minorHAnsi"/>
          <w:sz w:val="20"/>
          <w:szCs w:val="20"/>
        </w:rPr>
        <w:br/>
      </w:r>
      <w:r w:rsidR="00027543" w:rsidRPr="00027543">
        <w:rPr>
          <w:rFonts w:ascii="Avenir" w:hAnsi="Avenir" w:cstheme="minorHAnsi"/>
          <w:sz w:val="20"/>
          <w:szCs w:val="20"/>
        </w:rPr>
        <w:t>suspensions, appeals, and readmissions processes and reasons</w:t>
      </w:r>
    </w:p>
    <w:p w14:paraId="39EF5AD3" w14:textId="77777777" w:rsidR="00027543" w:rsidRPr="00027543" w:rsidRDefault="00027543" w:rsidP="00027543">
      <w:pPr>
        <w:pStyle w:val="ListParagraph"/>
        <w:spacing w:line="360" w:lineRule="auto"/>
        <w:ind w:left="288" w:firstLine="72"/>
        <w:rPr>
          <w:rFonts w:ascii="Avenir" w:hAnsi="Avenir" w:cstheme="minorHAnsi"/>
          <w:sz w:val="20"/>
          <w:szCs w:val="20"/>
        </w:rPr>
      </w:pPr>
    </w:p>
    <w:p w14:paraId="2E7C36B5" w14:textId="77777777" w:rsidR="00027543" w:rsidRPr="00027543" w:rsidRDefault="00027543" w:rsidP="00027543">
      <w:pPr>
        <w:pStyle w:val="ListParagraph"/>
        <w:numPr>
          <w:ilvl w:val="0"/>
          <w:numId w:val="1"/>
        </w:numPr>
        <w:spacing w:line="360" w:lineRule="auto"/>
        <w:rPr>
          <w:rFonts w:ascii="Avenir" w:hAnsi="Avenir" w:cstheme="minorHAnsi"/>
          <w:sz w:val="20"/>
          <w:szCs w:val="20"/>
        </w:rPr>
      </w:pPr>
      <w:r w:rsidRPr="00027543">
        <w:rPr>
          <w:rFonts w:ascii="Avenir" w:hAnsi="Avenir" w:cstheme="minorHAnsi"/>
          <w:b/>
          <w:sz w:val="20"/>
          <w:szCs w:val="20"/>
        </w:rPr>
        <w:t>Scheme Services</w:t>
      </w:r>
    </w:p>
    <w:p w14:paraId="6E4B805D" w14:textId="77777777" w:rsidR="00027543" w:rsidRPr="00027543" w:rsidRDefault="00027543" w:rsidP="00027543">
      <w:pPr>
        <w:pStyle w:val="ListParagraph"/>
        <w:spacing w:line="360" w:lineRule="auto"/>
        <w:ind w:left="360"/>
        <w:rPr>
          <w:rFonts w:ascii="Avenir" w:hAnsi="Avenir" w:cstheme="minorHAnsi"/>
          <w:b/>
          <w:sz w:val="20"/>
          <w:szCs w:val="20"/>
        </w:rPr>
      </w:pPr>
      <w:r w:rsidRPr="00027543">
        <w:rPr>
          <w:rFonts w:ascii="Avenir" w:hAnsi="Avenir" w:cstheme="minorHAnsi"/>
          <w:b/>
          <w:sz w:val="20"/>
          <w:szCs w:val="20"/>
        </w:rPr>
        <w:t>Required services</w:t>
      </w:r>
    </w:p>
    <w:p w14:paraId="61885BFB" w14:textId="77777777" w:rsidR="00027543" w:rsidRPr="00027543" w:rsidRDefault="00027543" w:rsidP="00027543">
      <w:pPr>
        <w:pStyle w:val="ListParagraph"/>
        <w:spacing w:line="360" w:lineRule="auto"/>
        <w:ind w:left="360"/>
        <w:rPr>
          <w:rFonts w:ascii="Avenir" w:hAnsi="Avenir" w:cstheme="minorHAnsi"/>
          <w:sz w:val="20"/>
          <w:szCs w:val="20"/>
        </w:rPr>
      </w:pPr>
      <w:r w:rsidRPr="00027543">
        <w:rPr>
          <w:rFonts w:ascii="Avenir" w:hAnsi="Avenir" w:cstheme="minorHAnsi"/>
          <w:sz w:val="20"/>
          <w:szCs w:val="20"/>
        </w:rPr>
        <w:t>Clearing</w:t>
      </w:r>
    </w:p>
    <w:p w14:paraId="473D911D" w14:textId="77777777" w:rsidR="00027543" w:rsidRPr="00027543" w:rsidRDefault="00027543" w:rsidP="00027543">
      <w:pPr>
        <w:pStyle w:val="ListParagraph"/>
        <w:spacing w:line="360" w:lineRule="auto"/>
        <w:ind w:left="360"/>
        <w:rPr>
          <w:rFonts w:ascii="Avenir" w:hAnsi="Avenir" w:cstheme="minorHAnsi"/>
          <w:sz w:val="20"/>
          <w:szCs w:val="20"/>
        </w:rPr>
      </w:pPr>
      <w:r w:rsidRPr="00027543">
        <w:rPr>
          <w:rFonts w:ascii="Avenir" w:hAnsi="Avenir" w:cstheme="minorHAnsi"/>
          <w:sz w:val="20"/>
          <w:szCs w:val="20"/>
        </w:rPr>
        <w:t>Settlement</w:t>
      </w:r>
    </w:p>
    <w:p w14:paraId="1FF4D2B7" w14:textId="1B626C4A" w:rsidR="00027543" w:rsidRDefault="00027543" w:rsidP="00027543">
      <w:pPr>
        <w:pStyle w:val="ListParagraph"/>
        <w:spacing w:line="360" w:lineRule="auto"/>
        <w:ind w:left="360"/>
        <w:rPr>
          <w:rFonts w:ascii="Avenir" w:hAnsi="Avenir" w:cstheme="minorHAnsi"/>
          <w:sz w:val="20"/>
          <w:szCs w:val="20"/>
        </w:rPr>
      </w:pPr>
      <w:r w:rsidRPr="00027543">
        <w:rPr>
          <w:rFonts w:ascii="Avenir" w:hAnsi="Avenir" w:cstheme="minorHAnsi"/>
          <w:sz w:val="20"/>
          <w:szCs w:val="20"/>
        </w:rPr>
        <w:t>Addressing</w:t>
      </w:r>
    </w:p>
    <w:p w14:paraId="29E103E3" w14:textId="1B9D4602" w:rsidR="001E4DF6" w:rsidRPr="00027543" w:rsidRDefault="001E4DF6" w:rsidP="00027543">
      <w:pPr>
        <w:pStyle w:val="ListParagraph"/>
        <w:spacing w:line="360" w:lineRule="auto"/>
        <w:ind w:left="360"/>
        <w:rPr>
          <w:rFonts w:ascii="Avenir" w:hAnsi="Avenir" w:cstheme="minorHAnsi"/>
          <w:sz w:val="20"/>
          <w:szCs w:val="20"/>
        </w:rPr>
      </w:pPr>
      <w:r>
        <w:rPr>
          <w:rFonts w:ascii="Avenir" w:hAnsi="Avenir" w:cstheme="minorHAnsi"/>
          <w:sz w:val="20"/>
          <w:szCs w:val="20"/>
        </w:rPr>
        <w:t>&lt;Other, TBD&gt;</w:t>
      </w:r>
    </w:p>
    <w:p w14:paraId="7225E7B9" w14:textId="7A8D85C1" w:rsidR="00027543" w:rsidRPr="00027543" w:rsidRDefault="00027543" w:rsidP="00027543">
      <w:pPr>
        <w:pStyle w:val="ListParagraph"/>
        <w:spacing w:line="360" w:lineRule="auto"/>
        <w:ind w:left="360"/>
        <w:rPr>
          <w:rFonts w:ascii="Avenir" w:hAnsi="Avenir" w:cstheme="minorHAnsi"/>
          <w:b/>
          <w:sz w:val="20"/>
          <w:szCs w:val="20"/>
        </w:rPr>
      </w:pPr>
      <w:r w:rsidRPr="00027543">
        <w:rPr>
          <w:rFonts w:ascii="Avenir" w:hAnsi="Avenir" w:cstheme="minorHAnsi"/>
          <w:b/>
          <w:sz w:val="20"/>
          <w:szCs w:val="20"/>
        </w:rPr>
        <w:t>Optional services</w:t>
      </w:r>
      <w:r>
        <w:rPr>
          <w:rFonts w:ascii="Avenir" w:hAnsi="Avenir" w:cstheme="minorHAnsi"/>
          <w:b/>
          <w:sz w:val="20"/>
          <w:szCs w:val="20"/>
        </w:rPr>
        <w:br/>
      </w:r>
    </w:p>
    <w:p w14:paraId="3337A635" w14:textId="77777777" w:rsidR="00027543" w:rsidRPr="00027543" w:rsidRDefault="00027543" w:rsidP="00027543">
      <w:pPr>
        <w:pStyle w:val="ListParagraph"/>
        <w:numPr>
          <w:ilvl w:val="0"/>
          <w:numId w:val="1"/>
        </w:numPr>
        <w:spacing w:line="360" w:lineRule="auto"/>
        <w:rPr>
          <w:rFonts w:ascii="Avenir" w:hAnsi="Avenir" w:cstheme="minorHAnsi"/>
          <w:b/>
          <w:bCs/>
          <w:sz w:val="20"/>
          <w:szCs w:val="20"/>
        </w:rPr>
      </w:pPr>
      <w:r w:rsidRPr="00027543">
        <w:rPr>
          <w:rFonts w:ascii="Avenir" w:hAnsi="Avenir" w:cstheme="minorHAnsi"/>
          <w:b/>
          <w:bCs/>
          <w:sz w:val="20"/>
          <w:szCs w:val="20"/>
        </w:rPr>
        <w:t>Transfers</w:t>
      </w:r>
    </w:p>
    <w:p w14:paraId="78F01EC9"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Transfer types supported</w:t>
      </w:r>
    </w:p>
    <w:p w14:paraId="2ED9F590"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Transfer flows</w:t>
      </w:r>
    </w:p>
    <w:p w14:paraId="7AAE688E"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Value limits</w:t>
      </w:r>
    </w:p>
    <w:p w14:paraId="0FEE0839"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Role of irrevocability</w:t>
      </w:r>
    </w:p>
    <w:p w14:paraId="39BE3744"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Allowable access points</w:t>
      </w:r>
    </w:p>
    <w:p w14:paraId="515B0D42" w14:textId="77777777" w:rsidR="00027543" w:rsidRPr="00027543" w:rsidRDefault="00027543" w:rsidP="00027543">
      <w:pPr>
        <w:pStyle w:val="ListParagraph"/>
        <w:spacing w:line="360" w:lineRule="auto"/>
        <w:ind w:left="360"/>
        <w:rPr>
          <w:rFonts w:ascii="Avenir" w:hAnsi="Avenir" w:cstheme="minorHAnsi"/>
          <w:bCs/>
          <w:sz w:val="20"/>
          <w:szCs w:val="20"/>
        </w:rPr>
      </w:pPr>
    </w:p>
    <w:p w14:paraId="2D1889D9" w14:textId="77777777" w:rsidR="00027543" w:rsidRPr="00027543" w:rsidRDefault="00027543" w:rsidP="00027543">
      <w:pPr>
        <w:pStyle w:val="ListParagraph"/>
        <w:numPr>
          <w:ilvl w:val="0"/>
          <w:numId w:val="1"/>
        </w:numPr>
        <w:spacing w:line="360" w:lineRule="auto"/>
        <w:rPr>
          <w:rFonts w:ascii="Avenir" w:hAnsi="Avenir" w:cstheme="minorHAnsi"/>
          <w:b/>
          <w:bCs/>
          <w:sz w:val="20"/>
          <w:szCs w:val="20"/>
        </w:rPr>
      </w:pPr>
      <w:r w:rsidRPr="00027543">
        <w:rPr>
          <w:rFonts w:ascii="Avenir" w:hAnsi="Avenir" w:cstheme="minorHAnsi"/>
          <w:b/>
          <w:bCs/>
          <w:sz w:val="20"/>
          <w:szCs w:val="20"/>
        </w:rPr>
        <w:t xml:space="preserve">Messaging </w:t>
      </w:r>
    </w:p>
    <w:p w14:paraId="216D20C0"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Relevant standard(s) (high level)</w:t>
      </w:r>
    </w:p>
    <w:p w14:paraId="728E3432"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Types of messages supported including financial and non-financial</w:t>
      </w:r>
    </w:p>
    <w:p w14:paraId="5475692F" w14:textId="77777777" w:rsidR="00027543" w:rsidRPr="00027543" w:rsidRDefault="00027543" w:rsidP="00027543">
      <w:pPr>
        <w:spacing w:line="360" w:lineRule="auto"/>
        <w:rPr>
          <w:rFonts w:ascii="Avenir" w:hAnsi="Avenir" w:cstheme="minorHAnsi"/>
        </w:rPr>
      </w:pPr>
    </w:p>
    <w:p w14:paraId="37511634" w14:textId="77777777" w:rsidR="00027543" w:rsidRPr="00027543" w:rsidRDefault="00027543" w:rsidP="00027543">
      <w:pPr>
        <w:pStyle w:val="ListParagraph"/>
        <w:numPr>
          <w:ilvl w:val="0"/>
          <w:numId w:val="1"/>
        </w:numPr>
        <w:spacing w:line="360" w:lineRule="auto"/>
        <w:rPr>
          <w:rFonts w:ascii="Avenir" w:hAnsi="Avenir" w:cstheme="minorHAnsi"/>
          <w:b/>
          <w:bCs/>
          <w:sz w:val="20"/>
          <w:szCs w:val="20"/>
        </w:rPr>
      </w:pPr>
      <w:r w:rsidRPr="00027543">
        <w:rPr>
          <w:rFonts w:ascii="Avenir" w:hAnsi="Avenir" w:cstheme="minorHAnsi"/>
          <w:b/>
          <w:bCs/>
          <w:sz w:val="20"/>
          <w:szCs w:val="20"/>
        </w:rPr>
        <w:t xml:space="preserve">Roles and Responsibilities of Scheme Entities </w:t>
      </w:r>
      <w:r w:rsidRPr="00027543">
        <w:rPr>
          <w:rFonts w:ascii="Avenir" w:hAnsi="Avenir" w:cstheme="minorHAnsi"/>
          <w:bCs/>
          <w:sz w:val="20"/>
          <w:szCs w:val="20"/>
        </w:rPr>
        <w:t>&lt;by role&gt;</w:t>
      </w:r>
    </w:p>
    <w:p w14:paraId="3CCD9279" w14:textId="77777777" w:rsidR="00027543" w:rsidRPr="00027543" w:rsidRDefault="00027543" w:rsidP="00027543">
      <w:pPr>
        <w:pStyle w:val="ListParagraph"/>
        <w:spacing w:line="360" w:lineRule="auto"/>
        <w:ind w:left="360"/>
        <w:rPr>
          <w:rFonts w:ascii="Avenir" w:hAnsi="Avenir" w:cstheme="minorHAnsi"/>
          <w:b/>
          <w:bCs/>
          <w:sz w:val="20"/>
          <w:szCs w:val="20"/>
        </w:rPr>
      </w:pPr>
      <w:r w:rsidRPr="00027543">
        <w:rPr>
          <w:rFonts w:ascii="Avenir" w:hAnsi="Avenir" w:cstheme="minorHAnsi"/>
          <w:b/>
          <w:bCs/>
          <w:sz w:val="20"/>
          <w:szCs w:val="20"/>
        </w:rPr>
        <w:t>Types of Participation</w:t>
      </w:r>
    </w:p>
    <w:p w14:paraId="3578EDAC" w14:textId="11C7D4CB" w:rsidR="00027543" w:rsidRPr="00027543" w:rsidRDefault="003A5E35" w:rsidP="00027543">
      <w:pPr>
        <w:pStyle w:val="ListParagraph"/>
        <w:spacing w:line="360" w:lineRule="auto"/>
        <w:ind w:left="360"/>
        <w:rPr>
          <w:rFonts w:ascii="Avenir" w:hAnsi="Avenir" w:cstheme="minorHAnsi"/>
          <w:bCs/>
          <w:sz w:val="20"/>
          <w:szCs w:val="20"/>
        </w:rPr>
      </w:pPr>
      <w:r>
        <w:rPr>
          <w:rFonts w:ascii="Avenir" w:hAnsi="Avenir" w:cstheme="minorHAnsi"/>
          <w:bCs/>
          <w:sz w:val="20"/>
          <w:szCs w:val="20"/>
        </w:rPr>
        <w:t>Eligibility</w:t>
      </w:r>
    </w:p>
    <w:p w14:paraId="7B429E6C" w14:textId="5A04D2F4" w:rsidR="00027543" w:rsidRPr="00027543" w:rsidRDefault="003A5E35" w:rsidP="00027543">
      <w:pPr>
        <w:pStyle w:val="ListParagraph"/>
        <w:spacing w:line="360" w:lineRule="auto"/>
        <w:ind w:left="360"/>
        <w:rPr>
          <w:rFonts w:ascii="Avenir" w:hAnsi="Avenir" w:cstheme="minorHAnsi"/>
          <w:bCs/>
          <w:sz w:val="20"/>
          <w:szCs w:val="20"/>
        </w:rPr>
      </w:pPr>
      <w:r>
        <w:rPr>
          <w:rFonts w:ascii="Avenir" w:hAnsi="Avenir" w:cstheme="minorHAnsi"/>
          <w:bCs/>
          <w:sz w:val="20"/>
          <w:szCs w:val="20"/>
        </w:rPr>
        <w:t xml:space="preserve">Obligations and </w:t>
      </w:r>
      <w:r w:rsidR="00027543" w:rsidRPr="00027543">
        <w:rPr>
          <w:rFonts w:ascii="Avenir" w:hAnsi="Avenir" w:cstheme="minorHAnsi"/>
          <w:bCs/>
          <w:sz w:val="20"/>
          <w:szCs w:val="20"/>
        </w:rPr>
        <w:t>Requirements</w:t>
      </w:r>
    </w:p>
    <w:p w14:paraId="7C3131C6" w14:textId="77777777" w:rsidR="00D606D5" w:rsidRDefault="00027543" w:rsidP="00B70D5B">
      <w:pPr>
        <w:pStyle w:val="ListParagraph"/>
        <w:spacing w:line="360" w:lineRule="auto"/>
        <w:ind w:left="360"/>
        <w:rPr>
          <w:rFonts w:ascii="Avenir" w:hAnsi="Avenir" w:cstheme="minorHAnsi"/>
          <w:b/>
          <w:bCs/>
          <w:sz w:val="20"/>
          <w:szCs w:val="20"/>
        </w:rPr>
      </w:pPr>
      <w:r w:rsidRPr="00027543">
        <w:rPr>
          <w:rFonts w:ascii="Avenir" w:hAnsi="Avenir" w:cstheme="minorHAnsi"/>
          <w:b/>
          <w:bCs/>
          <w:sz w:val="20"/>
          <w:szCs w:val="20"/>
        </w:rPr>
        <w:t>Other roles</w:t>
      </w:r>
    </w:p>
    <w:p w14:paraId="1F38D75F" w14:textId="2C20C4C7" w:rsidR="00027543" w:rsidRPr="00027543" w:rsidRDefault="00B70D5B" w:rsidP="00B70D5B">
      <w:pPr>
        <w:pStyle w:val="ListParagraph"/>
        <w:spacing w:line="360" w:lineRule="auto"/>
        <w:ind w:left="360"/>
        <w:rPr>
          <w:rFonts w:ascii="Avenir" w:hAnsi="Avenir" w:cstheme="minorHAnsi"/>
          <w:b/>
          <w:bCs/>
          <w:sz w:val="20"/>
          <w:szCs w:val="20"/>
        </w:rPr>
      </w:pPr>
      <w:r>
        <w:rPr>
          <w:rFonts w:ascii="Avenir" w:hAnsi="Avenir" w:cstheme="minorHAnsi"/>
          <w:b/>
          <w:bCs/>
          <w:sz w:val="20"/>
          <w:szCs w:val="20"/>
        </w:rPr>
        <w:br/>
      </w:r>
    </w:p>
    <w:p w14:paraId="62AB194C" w14:textId="0029DFD6" w:rsidR="00027543" w:rsidRPr="00027543" w:rsidRDefault="00D606D5" w:rsidP="00027543">
      <w:pPr>
        <w:pStyle w:val="ListParagraph"/>
        <w:numPr>
          <w:ilvl w:val="0"/>
          <w:numId w:val="1"/>
        </w:numPr>
        <w:spacing w:line="360" w:lineRule="auto"/>
        <w:rPr>
          <w:rFonts w:ascii="Avenir" w:hAnsi="Avenir" w:cstheme="minorHAnsi"/>
          <w:b/>
          <w:bCs/>
          <w:sz w:val="20"/>
          <w:szCs w:val="20"/>
        </w:rPr>
      </w:pPr>
      <w:r w:rsidRPr="00AD08C8">
        <w:rPr>
          <w:b/>
          <w:bCs/>
          <w:caps/>
          <w:noProof/>
          <w:color w:val="224B91" w:themeColor="accent1"/>
          <w:shd w:val="clear" w:color="auto" w:fill="FFFFFF"/>
          <w:lang w:eastAsia="ja-JP"/>
        </w:rPr>
        <w:lastRenderedPageBreak/>
        <mc:AlternateContent>
          <mc:Choice Requires="wps">
            <w:drawing>
              <wp:anchor distT="182880" distB="182880" distL="274320" distR="274320" simplePos="0" relativeHeight="251665408" behindDoc="0" locked="0" layoutInCell="1" allowOverlap="0" wp14:anchorId="4DA0F931" wp14:editId="79A358A8">
                <wp:simplePos x="0" y="0"/>
                <wp:positionH relativeFrom="margin">
                  <wp:posOffset>4406900</wp:posOffset>
                </wp:positionH>
                <wp:positionV relativeFrom="margin">
                  <wp:posOffset>538480</wp:posOffset>
                </wp:positionV>
                <wp:extent cx="2240280" cy="7759700"/>
                <wp:effectExtent l="0" t="0" r="7620" b="0"/>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2240280" cy="775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D606D5" w14:paraId="78700D77" w14:textId="77777777" w:rsidTr="00DC0B1C">
                              <w:trPr>
                                <w:trHeight w:hRule="exact" w:val="12348"/>
                              </w:trPr>
                              <w:tc>
                                <w:tcPr>
                                  <w:tcW w:w="3518" w:type="dxa"/>
                                  <w:shd w:val="clear" w:color="auto" w:fill="19386C" w:themeFill="accent1" w:themeFillShade="BF"/>
                                  <w:tcMar>
                                    <w:top w:w="288" w:type="dxa"/>
                                    <w:bottom w:w="288" w:type="dxa"/>
                                  </w:tcMar>
                                </w:tcPr>
                                <w:p w14:paraId="08A24DD9" w14:textId="4D0293E7" w:rsidR="00D606D5" w:rsidRDefault="00904513" w:rsidP="00F8252D">
                                  <w:pPr>
                                    <w:pStyle w:val="BlockHeading"/>
                                  </w:pPr>
                                  <w:r>
                                    <w:t xml:space="preserve">KEY </w:t>
                                  </w:r>
                                  <w:r w:rsidR="00D606D5">
                                    <w:t>Rulebook considerations</w:t>
                                  </w:r>
                                </w:p>
                                <w:p w14:paraId="55913773" w14:textId="43D19CED" w:rsidR="00D606D5" w:rsidRDefault="00985642" w:rsidP="00027543">
                                  <w:pPr>
                                    <w:pStyle w:val="BlockText"/>
                                  </w:pPr>
                                  <w:r>
                                    <w:t>SETTLEMENT</w:t>
                                  </w:r>
                                </w:p>
                                <w:p w14:paraId="5B7E0EF5" w14:textId="233CF82F" w:rsidR="00985642" w:rsidRDefault="00985642" w:rsidP="00027543">
                                  <w:pPr>
                                    <w:pStyle w:val="BlockText"/>
                                  </w:pPr>
                                  <w:r>
                                    <w:t>Approaches to settlement are often determined in coordination with the central bank. Settlement rules, including funding and settlement windows</w:t>
                                  </w:r>
                                  <w:r w:rsidR="00B468C5">
                                    <w:t>,</w:t>
                                  </w:r>
                                  <w:r>
                                    <w:t xml:space="preserve"> often reflect capabilities (or limitations) of </w:t>
                                  </w:r>
                                  <w:r w:rsidR="00B468C5">
                                    <w:t>other payments systems used for settlement (e.g. RTGS).</w:t>
                                  </w:r>
                                </w:p>
                                <w:p w14:paraId="3F092AC4" w14:textId="641B6A1A" w:rsidR="00D606D5" w:rsidRDefault="00985642" w:rsidP="00027543">
                                  <w:pPr>
                                    <w:pStyle w:val="BlockText"/>
                                  </w:pPr>
                                  <w:r>
                                    <w:t>ADDRESSING</w:t>
                                  </w:r>
                                </w:p>
                                <w:p w14:paraId="0AC246C2" w14:textId="32E9D39C" w:rsidR="00B468C5" w:rsidRDefault="00B468C5" w:rsidP="00027543">
                                  <w:pPr>
                                    <w:pStyle w:val="BlockText"/>
                                  </w:pPr>
                                  <w:r>
                                    <w:t>An important consideration for addressing is what types of addresses may be supported by the scheme. Global trends support the use of mobile phone numbers and aliases as addresses, particularly to compel women users.</w:t>
                                  </w:r>
                                </w:p>
                                <w:p w14:paraId="32602DBE" w14:textId="77777777" w:rsidR="00985642" w:rsidRDefault="00985642" w:rsidP="00985642">
                                  <w:pPr>
                                    <w:pStyle w:val="BlockText"/>
                                  </w:pPr>
                                  <w:r>
                                    <w:t>OTHER MANDATORY SERVICES</w:t>
                                  </w:r>
                                </w:p>
                                <w:p w14:paraId="3F995574" w14:textId="30003860" w:rsidR="00985642" w:rsidRPr="00DC0B1C" w:rsidRDefault="00B468C5" w:rsidP="00985642">
                                  <w:pPr>
                                    <w:pStyle w:val="BlockText"/>
                                  </w:pPr>
                                  <w:r>
                                    <w:t>A</w:t>
                                  </w:r>
                                  <w:r w:rsidR="00985642">
                                    <w:t>dditional mandatory services may be provided by the scheme. Often, we see mandatory services include dispute resolution, and increasingly, fraud management.</w:t>
                                  </w:r>
                                </w:p>
                              </w:tc>
                            </w:tr>
                            <w:tr w:rsidR="00D606D5" w14:paraId="0695FDA9" w14:textId="77777777">
                              <w:trPr>
                                <w:trHeight w:hRule="exact" w:val="288"/>
                              </w:trPr>
                              <w:tc>
                                <w:tcPr>
                                  <w:tcW w:w="3518" w:type="dxa"/>
                                </w:tcPr>
                                <w:p w14:paraId="7DC1959F" w14:textId="77777777" w:rsidR="00D606D5" w:rsidRDefault="00D606D5" w:rsidP="00F8252D"/>
                              </w:tc>
                            </w:tr>
                            <w:tr w:rsidR="00D606D5" w14:paraId="46A018FF" w14:textId="77777777">
                              <w:trPr>
                                <w:trHeight w:hRule="exact" w:val="3312"/>
                              </w:trPr>
                              <w:tc>
                                <w:tcPr>
                                  <w:tcW w:w="3518" w:type="dxa"/>
                                </w:tcPr>
                                <w:p w14:paraId="4330EA7A" w14:textId="77777777" w:rsidR="00D606D5" w:rsidRDefault="00D606D5" w:rsidP="00F8252D"/>
                              </w:tc>
                            </w:tr>
                          </w:tbl>
                          <w:p w14:paraId="06EBBDD7" w14:textId="77777777" w:rsidR="00D606D5" w:rsidRDefault="00D606D5" w:rsidP="00D606D5">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0F931" id="Text Box 6" o:spid="_x0000_s1028" type="#_x0000_t202" alt="Text box sidebar" style="position:absolute;left:0;text-align:left;margin-left:347pt;margin-top:42.4pt;width:176.4pt;height:611pt;z-index:251665408;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&#13;&#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D606D5" w14:paraId="78700D77" w14:textId="77777777" w:rsidTr="00DC0B1C">
                        <w:trPr>
                          <w:trHeight w:hRule="exact" w:val="12348"/>
                        </w:trPr>
                        <w:tc>
                          <w:tcPr>
                            <w:tcW w:w="3518" w:type="dxa"/>
                            <w:shd w:val="clear" w:color="auto" w:fill="19386C" w:themeFill="accent1" w:themeFillShade="BF"/>
                            <w:tcMar>
                              <w:top w:w="288" w:type="dxa"/>
                              <w:bottom w:w="288" w:type="dxa"/>
                            </w:tcMar>
                          </w:tcPr>
                          <w:p w14:paraId="08A24DD9" w14:textId="4D0293E7" w:rsidR="00D606D5" w:rsidRDefault="00904513" w:rsidP="00F8252D">
                            <w:pPr>
                              <w:pStyle w:val="BlockHeading"/>
                            </w:pPr>
                            <w:r>
                              <w:t xml:space="preserve">KEY </w:t>
                            </w:r>
                            <w:r w:rsidR="00D606D5">
                              <w:t>Rulebook considerations</w:t>
                            </w:r>
                          </w:p>
                          <w:p w14:paraId="55913773" w14:textId="43D19CED" w:rsidR="00D606D5" w:rsidRDefault="00985642" w:rsidP="00027543">
                            <w:pPr>
                              <w:pStyle w:val="BlockText"/>
                            </w:pPr>
                            <w:r>
                              <w:t>SETTLEMENT</w:t>
                            </w:r>
                          </w:p>
                          <w:p w14:paraId="5B7E0EF5" w14:textId="233CF82F" w:rsidR="00985642" w:rsidRDefault="00985642" w:rsidP="00027543">
                            <w:pPr>
                              <w:pStyle w:val="BlockText"/>
                            </w:pPr>
                            <w:r>
                              <w:t>Approaches to settlement are often determined in coordination with the central bank. Settlement rules, including funding and settlement windows</w:t>
                            </w:r>
                            <w:r w:rsidR="00B468C5">
                              <w:t>,</w:t>
                            </w:r>
                            <w:r>
                              <w:t xml:space="preserve"> often reflect capabilities (or limitations) of </w:t>
                            </w:r>
                            <w:r w:rsidR="00B468C5">
                              <w:t>other payments systems used for settlement (e.g. RTGS).</w:t>
                            </w:r>
                          </w:p>
                          <w:p w14:paraId="3F092AC4" w14:textId="641B6A1A" w:rsidR="00D606D5" w:rsidRDefault="00985642" w:rsidP="00027543">
                            <w:pPr>
                              <w:pStyle w:val="BlockText"/>
                            </w:pPr>
                            <w:r>
                              <w:t>ADDRESSING</w:t>
                            </w:r>
                          </w:p>
                          <w:p w14:paraId="0AC246C2" w14:textId="32E9D39C" w:rsidR="00B468C5" w:rsidRDefault="00B468C5" w:rsidP="00027543">
                            <w:pPr>
                              <w:pStyle w:val="BlockText"/>
                            </w:pPr>
                            <w:r>
                              <w:t>An important consideration for addressing is what types of addresses may be supported by the scheme. Global trends support the use of mobile phone numbers and aliases as addresses, particularly to compel women users.</w:t>
                            </w:r>
                          </w:p>
                          <w:p w14:paraId="32602DBE" w14:textId="77777777" w:rsidR="00985642" w:rsidRDefault="00985642" w:rsidP="00985642">
                            <w:pPr>
                              <w:pStyle w:val="BlockText"/>
                            </w:pPr>
                            <w:r>
                              <w:t>OTHER MANDATORY SERVICES</w:t>
                            </w:r>
                          </w:p>
                          <w:p w14:paraId="3F995574" w14:textId="30003860" w:rsidR="00985642" w:rsidRPr="00DC0B1C" w:rsidRDefault="00B468C5" w:rsidP="00985642">
                            <w:pPr>
                              <w:pStyle w:val="BlockText"/>
                            </w:pPr>
                            <w:r>
                              <w:t>A</w:t>
                            </w:r>
                            <w:r w:rsidR="00985642">
                              <w:t>dditional mandatory services may be provided by the scheme. Often, we see mandatory services include dispute resolution, and increasingly, fraud management.</w:t>
                            </w:r>
                          </w:p>
                        </w:tc>
                      </w:tr>
                      <w:tr w:rsidR="00D606D5" w14:paraId="0695FDA9" w14:textId="77777777">
                        <w:trPr>
                          <w:trHeight w:hRule="exact" w:val="288"/>
                        </w:trPr>
                        <w:tc>
                          <w:tcPr>
                            <w:tcW w:w="3518" w:type="dxa"/>
                          </w:tcPr>
                          <w:p w14:paraId="7DC1959F" w14:textId="77777777" w:rsidR="00D606D5" w:rsidRDefault="00D606D5" w:rsidP="00F8252D"/>
                        </w:tc>
                      </w:tr>
                      <w:tr w:rsidR="00D606D5" w14:paraId="46A018FF" w14:textId="77777777">
                        <w:trPr>
                          <w:trHeight w:hRule="exact" w:val="3312"/>
                        </w:trPr>
                        <w:tc>
                          <w:tcPr>
                            <w:tcW w:w="3518" w:type="dxa"/>
                          </w:tcPr>
                          <w:p w14:paraId="4330EA7A" w14:textId="77777777" w:rsidR="00D606D5" w:rsidRDefault="00D606D5" w:rsidP="00F8252D"/>
                        </w:tc>
                      </w:tr>
                    </w:tbl>
                    <w:p w14:paraId="06EBBDD7" w14:textId="77777777" w:rsidR="00D606D5" w:rsidRDefault="00D606D5" w:rsidP="00D606D5">
                      <w:pPr>
                        <w:pStyle w:val="Caption"/>
                      </w:pPr>
                    </w:p>
                  </w:txbxContent>
                </v:textbox>
                <w10:wrap type="square" anchorx="margin" anchory="margin"/>
              </v:shape>
            </w:pict>
          </mc:Fallback>
        </mc:AlternateContent>
      </w:r>
      <w:r w:rsidR="00027543" w:rsidRPr="00027543">
        <w:rPr>
          <w:rFonts w:ascii="Avenir" w:hAnsi="Avenir" w:cstheme="minorHAnsi"/>
          <w:b/>
          <w:bCs/>
          <w:sz w:val="20"/>
          <w:szCs w:val="20"/>
        </w:rPr>
        <w:t>Clearing</w:t>
      </w:r>
    </w:p>
    <w:p w14:paraId="58F664E1"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Definition</w:t>
      </w:r>
    </w:p>
    <w:p w14:paraId="7F88F7A2"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Overall approach and process</w:t>
      </w:r>
    </w:p>
    <w:p w14:paraId="4490F145"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Clearing roles and responsibilities</w:t>
      </w:r>
    </w:p>
    <w:p w14:paraId="0784C1CE" w14:textId="77777777" w:rsidR="00027543" w:rsidRPr="00027543" w:rsidRDefault="00027543" w:rsidP="00027543">
      <w:pPr>
        <w:pStyle w:val="ListParagraph"/>
        <w:rPr>
          <w:rFonts w:ascii="Avenir" w:hAnsi="Avenir" w:cstheme="minorHAnsi"/>
          <w:b/>
          <w:bCs/>
          <w:sz w:val="20"/>
          <w:szCs w:val="20"/>
        </w:rPr>
      </w:pPr>
    </w:p>
    <w:p w14:paraId="0B0BB83B" w14:textId="77777777" w:rsidR="00027543" w:rsidRPr="00027543" w:rsidRDefault="00027543" w:rsidP="00027543">
      <w:pPr>
        <w:pStyle w:val="ListParagraph"/>
        <w:numPr>
          <w:ilvl w:val="0"/>
          <w:numId w:val="1"/>
        </w:numPr>
        <w:spacing w:line="360" w:lineRule="auto"/>
        <w:rPr>
          <w:rFonts w:ascii="Avenir" w:hAnsi="Avenir" w:cstheme="minorHAnsi"/>
          <w:b/>
          <w:bCs/>
          <w:sz w:val="20"/>
          <w:szCs w:val="20"/>
        </w:rPr>
      </w:pPr>
      <w:r w:rsidRPr="00027543">
        <w:rPr>
          <w:rFonts w:ascii="Avenir" w:hAnsi="Avenir" w:cstheme="minorHAnsi"/>
          <w:b/>
          <w:bCs/>
          <w:sz w:val="20"/>
          <w:szCs w:val="20"/>
        </w:rPr>
        <w:t>Settlement</w:t>
      </w:r>
    </w:p>
    <w:p w14:paraId="5BA77258"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Definition</w:t>
      </w:r>
    </w:p>
    <w:p w14:paraId="41DA7BAD" w14:textId="77777777" w:rsidR="00027543" w:rsidRPr="00027543" w:rsidRDefault="00027543" w:rsidP="00027543">
      <w:pPr>
        <w:pStyle w:val="ListParagraph"/>
        <w:spacing w:line="360" w:lineRule="auto"/>
        <w:ind w:left="360"/>
        <w:rPr>
          <w:rFonts w:ascii="Avenir" w:hAnsi="Avenir" w:cstheme="minorHAnsi"/>
          <w:b/>
          <w:bCs/>
          <w:sz w:val="20"/>
          <w:szCs w:val="20"/>
        </w:rPr>
      </w:pPr>
      <w:r w:rsidRPr="00027543">
        <w:rPr>
          <w:rFonts w:ascii="Avenir" w:hAnsi="Avenir" w:cstheme="minorHAnsi"/>
          <w:b/>
          <w:bCs/>
          <w:sz w:val="20"/>
          <w:szCs w:val="20"/>
        </w:rPr>
        <w:t>Overall approach and process</w:t>
      </w:r>
    </w:p>
    <w:p w14:paraId="75C7704A"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Funding of settlement</w:t>
      </w:r>
    </w:p>
    <w:p w14:paraId="7F2BBBEB"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Windows</w:t>
      </w:r>
    </w:p>
    <w:p w14:paraId="4BD51C15"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Monitoring options</w:t>
      </w:r>
    </w:p>
    <w:p w14:paraId="49A33941"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Settlement instructions</w:t>
      </w:r>
    </w:p>
    <w:p w14:paraId="15D85479"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Account requirements</w:t>
      </w:r>
    </w:p>
    <w:p w14:paraId="272D61FA" w14:textId="77777777" w:rsidR="00027543" w:rsidRPr="00027543" w:rsidRDefault="00027543" w:rsidP="00027543">
      <w:pPr>
        <w:pStyle w:val="ListParagraph"/>
        <w:spacing w:line="360" w:lineRule="auto"/>
        <w:ind w:left="360"/>
        <w:rPr>
          <w:rFonts w:ascii="Avenir" w:hAnsi="Avenir" w:cstheme="minorHAnsi"/>
          <w:b/>
          <w:bCs/>
          <w:sz w:val="20"/>
          <w:szCs w:val="20"/>
        </w:rPr>
      </w:pPr>
      <w:r w:rsidRPr="00027543">
        <w:rPr>
          <w:rFonts w:ascii="Avenir" w:hAnsi="Avenir" w:cstheme="minorHAnsi"/>
          <w:b/>
          <w:bCs/>
          <w:sz w:val="20"/>
          <w:szCs w:val="20"/>
        </w:rPr>
        <w:t>Settlement roles and responsibilities</w:t>
      </w:r>
    </w:p>
    <w:p w14:paraId="13147A42" w14:textId="77777777" w:rsidR="00027543" w:rsidRPr="00027543" w:rsidRDefault="00027543" w:rsidP="00027543">
      <w:pPr>
        <w:pStyle w:val="ListParagraph"/>
        <w:spacing w:line="360" w:lineRule="auto"/>
        <w:ind w:left="360"/>
        <w:rPr>
          <w:rFonts w:ascii="Avenir" w:hAnsi="Avenir" w:cstheme="minorHAnsi"/>
          <w:b/>
          <w:bCs/>
          <w:sz w:val="20"/>
          <w:szCs w:val="20"/>
        </w:rPr>
      </w:pPr>
    </w:p>
    <w:p w14:paraId="13A2DF91" w14:textId="77777777" w:rsidR="00027543" w:rsidRPr="00027543" w:rsidRDefault="00027543" w:rsidP="00027543">
      <w:pPr>
        <w:pStyle w:val="ListParagraph"/>
        <w:numPr>
          <w:ilvl w:val="0"/>
          <w:numId w:val="1"/>
        </w:numPr>
        <w:spacing w:line="360" w:lineRule="auto"/>
        <w:rPr>
          <w:rFonts w:ascii="Avenir" w:hAnsi="Avenir" w:cstheme="minorHAnsi"/>
          <w:b/>
          <w:bCs/>
          <w:sz w:val="20"/>
          <w:szCs w:val="20"/>
        </w:rPr>
      </w:pPr>
      <w:r w:rsidRPr="00027543">
        <w:rPr>
          <w:rFonts w:ascii="Avenir" w:hAnsi="Avenir" w:cstheme="minorHAnsi"/>
          <w:b/>
          <w:bCs/>
          <w:sz w:val="20"/>
          <w:szCs w:val="20"/>
        </w:rPr>
        <w:t>Addressing</w:t>
      </w:r>
    </w:p>
    <w:p w14:paraId="6A6769E2"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Definition</w:t>
      </w:r>
    </w:p>
    <w:p w14:paraId="1C55E363" w14:textId="77777777" w:rsidR="00027543" w:rsidRPr="00027543" w:rsidRDefault="00027543" w:rsidP="00027543">
      <w:pPr>
        <w:pStyle w:val="ListParagraph"/>
        <w:spacing w:line="360" w:lineRule="auto"/>
        <w:ind w:left="360"/>
        <w:rPr>
          <w:rFonts w:ascii="Avenir" w:hAnsi="Avenir" w:cstheme="minorHAnsi"/>
          <w:b/>
          <w:bCs/>
          <w:sz w:val="20"/>
          <w:szCs w:val="20"/>
        </w:rPr>
      </w:pPr>
      <w:r w:rsidRPr="00027543">
        <w:rPr>
          <w:rFonts w:ascii="Avenir" w:hAnsi="Avenir" w:cstheme="minorHAnsi"/>
          <w:b/>
          <w:bCs/>
          <w:sz w:val="20"/>
          <w:szCs w:val="20"/>
        </w:rPr>
        <w:t>Overall approach and process</w:t>
      </w:r>
    </w:p>
    <w:p w14:paraId="2601101A"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Types of addresses supported</w:t>
      </w:r>
    </w:p>
    <w:p w14:paraId="11D385B2"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Registering addresses</w:t>
      </w:r>
    </w:p>
    <w:p w14:paraId="7ABCC5BE"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Porting addresses</w:t>
      </w:r>
    </w:p>
    <w:p w14:paraId="36FB0030" w14:textId="77777777" w:rsidR="00027543" w:rsidRPr="00027543" w:rsidRDefault="00027543" w:rsidP="00027543">
      <w:pPr>
        <w:pStyle w:val="ListParagraph"/>
        <w:spacing w:line="360" w:lineRule="auto"/>
        <w:ind w:left="360"/>
        <w:rPr>
          <w:rFonts w:ascii="Avenir" w:hAnsi="Avenir" w:cstheme="minorHAnsi"/>
          <w:bCs/>
          <w:sz w:val="20"/>
          <w:szCs w:val="20"/>
        </w:rPr>
      </w:pPr>
    </w:p>
    <w:p w14:paraId="5642F625" w14:textId="22D18A21" w:rsidR="00027543" w:rsidRPr="00027543" w:rsidRDefault="00027543" w:rsidP="00027543">
      <w:pPr>
        <w:pStyle w:val="ListParagraph"/>
        <w:numPr>
          <w:ilvl w:val="0"/>
          <w:numId w:val="1"/>
        </w:numPr>
        <w:spacing w:line="360" w:lineRule="auto"/>
        <w:rPr>
          <w:rFonts w:ascii="Avenir" w:hAnsi="Avenir" w:cstheme="minorHAnsi"/>
          <w:b/>
          <w:bCs/>
          <w:sz w:val="20"/>
          <w:szCs w:val="20"/>
        </w:rPr>
      </w:pPr>
      <w:r w:rsidRPr="00027543">
        <w:rPr>
          <w:rFonts w:ascii="Avenir" w:hAnsi="Avenir" w:cstheme="minorHAnsi"/>
          <w:b/>
          <w:bCs/>
          <w:sz w:val="20"/>
          <w:szCs w:val="20"/>
        </w:rPr>
        <w:t xml:space="preserve">[Other </w:t>
      </w:r>
      <w:r w:rsidR="00985642">
        <w:rPr>
          <w:rFonts w:ascii="Avenir" w:hAnsi="Avenir" w:cstheme="minorHAnsi"/>
          <w:b/>
          <w:bCs/>
          <w:sz w:val="20"/>
          <w:szCs w:val="20"/>
        </w:rPr>
        <w:t>mandatory s</w:t>
      </w:r>
      <w:r w:rsidRPr="00027543">
        <w:rPr>
          <w:rFonts w:ascii="Avenir" w:hAnsi="Avenir" w:cstheme="minorHAnsi"/>
          <w:b/>
          <w:bCs/>
          <w:sz w:val="20"/>
          <w:szCs w:val="20"/>
        </w:rPr>
        <w:t>ervices provided by the platform, e.g. fraud management, dispute resolution, APIs, etc. -- separate section for each service]</w:t>
      </w:r>
    </w:p>
    <w:p w14:paraId="61E9D8EF"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Definition</w:t>
      </w:r>
    </w:p>
    <w:p w14:paraId="4E2ECE83" w14:textId="096E8D0B" w:rsidR="00D606D5" w:rsidRPr="00985642" w:rsidRDefault="00027543" w:rsidP="00985642">
      <w:pPr>
        <w:pStyle w:val="ListParagraph"/>
        <w:spacing w:line="360" w:lineRule="auto"/>
        <w:ind w:left="360"/>
        <w:rPr>
          <w:rFonts w:ascii="Avenir" w:hAnsi="Avenir" w:cstheme="minorHAnsi"/>
          <w:b/>
          <w:bCs/>
          <w:sz w:val="20"/>
          <w:szCs w:val="20"/>
        </w:rPr>
        <w:sectPr w:rsidR="00D606D5" w:rsidRPr="00985642" w:rsidSect="00D606D5">
          <w:type w:val="continuous"/>
          <w:pgSz w:w="12240" w:h="15840"/>
          <w:pgMar w:top="792" w:right="720" w:bottom="720" w:left="720" w:header="720" w:footer="720" w:gutter="0"/>
          <w:cols w:space="720"/>
          <w:docGrid w:linePitch="360"/>
        </w:sectPr>
      </w:pPr>
      <w:r w:rsidRPr="00027543">
        <w:rPr>
          <w:rFonts w:ascii="Avenir" w:hAnsi="Avenir" w:cstheme="minorHAnsi"/>
          <w:b/>
          <w:bCs/>
          <w:sz w:val="20"/>
          <w:szCs w:val="20"/>
        </w:rPr>
        <w:t>Overall approach and process</w:t>
      </w:r>
    </w:p>
    <w:p w14:paraId="60060CB8" w14:textId="71258E93" w:rsidR="00D606D5" w:rsidRDefault="00D606D5" w:rsidP="00B70D5B">
      <w:pPr>
        <w:spacing w:line="360" w:lineRule="auto"/>
        <w:rPr>
          <w:rFonts w:ascii="Avenir" w:hAnsi="Avenir" w:cstheme="minorHAnsi"/>
          <w:b/>
          <w:bCs/>
        </w:rPr>
      </w:pPr>
    </w:p>
    <w:p w14:paraId="48DB845B" w14:textId="5C6E4C18" w:rsidR="00985642" w:rsidRDefault="00985642" w:rsidP="00B70D5B">
      <w:pPr>
        <w:spacing w:line="360" w:lineRule="auto"/>
        <w:rPr>
          <w:rFonts w:ascii="Avenir" w:hAnsi="Avenir" w:cstheme="minorHAnsi"/>
          <w:b/>
          <w:bCs/>
        </w:rPr>
      </w:pPr>
    </w:p>
    <w:p w14:paraId="0E6A2723" w14:textId="6742FEE6" w:rsidR="003A5E35" w:rsidRDefault="003A5E35" w:rsidP="00B70D5B">
      <w:pPr>
        <w:spacing w:line="360" w:lineRule="auto"/>
        <w:rPr>
          <w:rFonts w:ascii="Avenir" w:hAnsi="Avenir" w:cstheme="minorHAnsi"/>
          <w:b/>
          <w:bCs/>
        </w:rPr>
      </w:pPr>
    </w:p>
    <w:p w14:paraId="1039AB7A" w14:textId="0F742CB5" w:rsidR="003A5E35" w:rsidRDefault="003A5E35" w:rsidP="00B70D5B">
      <w:pPr>
        <w:spacing w:line="360" w:lineRule="auto"/>
        <w:rPr>
          <w:rFonts w:ascii="Avenir" w:hAnsi="Avenir" w:cstheme="minorHAnsi"/>
          <w:b/>
          <w:bCs/>
        </w:rPr>
      </w:pPr>
    </w:p>
    <w:p w14:paraId="76E3D6DF" w14:textId="1DB70EEB" w:rsidR="003A5E35" w:rsidRDefault="003A5E35" w:rsidP="00B70D5B">
      <w:pPr>
        <w:spacing w:line="360" w:lineRule="auto"/>
        <w:rPr>
          <w:rFonts w:ascii="Avenir" w:hAnsi="Avenir" w:cstheme="minorHAnsi"/>
          <w:b/>
          <w:bCs/>
        </w:rPr>
      </w:pPr>
    </w:p>
    <w:p w14:paraId="12C4020C" w14:textId="3EC204FA" w:rsidR="003A5E35" w:rsidRDefault="003A5E35" w:rsidP="00B70D5B">
      <w:pPr>
        <w:spacing w:line="360" w:lineRule="auto"/>
        <w:rPr>
          <w:rFonts w:ascii="Avenir" w:hAnsi="Avenir" w:cstheme="minorHAnsi"/>
          <w:b/>
          <w:bCs/>
        </w:rPr>
      </w:pPr>
    </w:p>
    <w:p w14:paraId="3445C1AA" w14:textId="73235E3D" w:rsidR="003A5E35" w:rsidRDefault="003A5E35" w:rsidP="00B70D5B">
      <w:pPr>
        <w:spacing w:line="360" w:lineRule="auto"/>
        <w:rPr>
          <w:rFonts w:ascii="Avenir" w:hAnsi="Avenir" w:cstheme="minorHAnsi"/>
          <w:b/>
          <w:bCs/>
        </w:rPr>
      </w:pPr>
    </w:p>
    <w:p w14:paraId="2EE32EF1" w14:textId="77777777" w:rsidR="003A5E35" w:rsidRDefault="003A5E35" w:rsidP="00B70D5B">
      <w:pPr>
        <w:spacing w:line="360" w:lineRule="auto"/>
        <w:rPr>
          <w:rFonts w:ascii="Avenir" w:hAnsi="Avenir" w:cstheme="minorHAnsi"/>
          <w:b/>
          <w:bCs/>
        </w:rPr>
      </w:pPr>
    </w:p>
    <w:p w14:paraId="09A70A82" w14:textId="684ACB15" w:rsidR="003A5E35" w:rsidRDefault="003A5E35" w:rsidP="00B70D5B">
      <w:pPr>
        <w:spacing w:line="360" w:lineRule="auto"/>
        <w:rPr>
          <w:rFonts w:ascii="Avenir" w:hAnsi="Avenir" w:cstheme="minorHAnsi"/>
          <w:b/>
          <w:bCs/>
        </w:rPr>
      </w:pPr>
    </w:p>
    <w:p w14:paraId="185DC4C4" w14:textId="60524867" w:rsidR="003A5E35" w:rsidRDefault="003A5E35" w:rsidP="00B70D5B">
      <w:pPr>
        <w:spacing w:line="360" w:lineRule="auto"/>
        <w:rPr>
          <w:rFonts w:ascii="Avenir" w:hAnsi="Avenir" w:cstheme="minorHAnsi"/>
          <w:b/>
          <w:bCs/>
        </w:rPr>
      </w:pPr>
    </w:p>
    <w:p w14:paraId="4FB06FE8" w14:textId="77777777" w:rsidR="003A5E35" w:rsidRDefault="003A5E35" w:rsidP="00B70D5B">
      <w:pPr>
        <w:spacing w:line="360" w:lineRule="auto"/>
        <w:rPr>
          <w:rFonts w:ascii="Avenir" w:hAnsi="Avenir" w:cstheme="minorHAnsi"/>
          <w:b/>
          <w:bCs/>
        </w:rPr>
      </w:pPr>
    </w:p>
    <w:p w14:paraId="2098152A" w14:textId="0570A715" w:rsidR="00985642" w:rsidRDefault="00985642" w:rsidP="00B70D5B">
      <w:pPr>
        <w:spacing w:line="360" w:lineRule="auto"/>
        <w:rPr>
          <w:rFonts w:ascii="Avenir" w:hAnsi="Avenir" w:cstheme="minorHAnsi"/>
          <w:b/>
          <w:bCs/>
        </w:rPr>
      </w:pPr>
    </w:p>
    <w:p w14:paraId="4DC6744B" w14:textId="51684CC4" w:rsidR="00985642" w:rsidRDefault="00985642" w:rsidP="00B70D5B">
      <w:pPr>
        <w:spacing w:line="360" w:lineRule="auto"/>
        <w:rPr>
          <w:rFonts w:ascii="Avenir" w:hAnsi="Avenir" w:cstheme="minorHAnsi"/>
          <w:b/>
          <w:bCs/>
        </w:rPr>
      </w:pPr>
    </w:p>
    <w:p w14:paraId="2955EE25" w14:textId="609DCD58" w:rsidR="00985642" w:rsidRDefault="00985642" w:rsidP="00B70D5B">
      <w:pPr>
        <w:spacing w:line="360" w:lineRule="auto"/>
        <w:rPr>
          <w:rFonts w:ascii="Avenir" w:hAnsi="Avenir" w:cstheme="minorHAnsi"/>
          <w:b/>
          <w:bCs/>
        </w:rPr>
      </w:pPr>
    </w:p>
    <w:p w14:paraId="20DB82E3" w14:textId="36390B92" w:rsidR="00985642" w:rsidRPr="00B70D5B" w:rsidRDefault="003A5E35" w:rsidP="00B70D5B">
      <w:pPr>
        <w:spacing w:line="360" w:lineRule="auto"/>
        <w:rPr>
          <w:rFonts w:ascii="Avenir" w:hAnsi="Avenir" w:cstheme="minorHAnsi"/>
          <w:b/>
          <w:bCs/>
        </w:rPr>
      </w:pPr>
      <w:r w:rsidRPr="00AD08C8">
        <w:rPr>
          <w:b/>
          <w:bCs/>
          <w:caps/>
          <w:color w:val="224B91" w:themeColor="accent1"/>
          <w:shd w:val="clear" w:color="auto" w:fill="FFFFFF"/>
        </w:rPr>
        <w:lastRenderedPageBreak/>
        <mc:AlternateContent>
          <mc:Choice Requires="wps">
            <w:drawing>
              <wp:anchor distT="182880" distB="182880" distL="274320" distR="274320" simplePos="0" relativeHeight="251667456" behindDoc="0" locked="0" layoutInCell="1" allowOverlap="0" wp14:anchorId="0BA12B41" wp14:editId="3CB6AC3C">
                <wp:simplePos x="0" y="0"/>
                <wp:positionH relativeFrom="margin">
                  <wp:posOffset>4497543</wp:posOffset>
                </wp:positionH>
                <wp:positionV relativeFrom="margin">
                  <wp:posOffset>341187</wp:posOffset>
                </wp:positionV>
                <wp:extent cx="2240280" cy="5788660"/>
                <wp:effectExtent l="0" t="0" r="7620" b="2540"/>
                <wp:wrapSquare wrapText="bothSides"/>
                <wp:docPr id="7" name="Text Box 7" descr="Text box sidebar"/>
                <wp:cNvGraphicFramePr/>
                <a:graphic xmlns:a="http://schemas.openxmlformats.org/drawingml/2006/main">
                  <a:graphicData uri="http://schemas.microsoft.com/office/word/2010/wordprocessingShape">
                    <wps:wsp>
                      <wps:cNvSpPr txBox="1"/>
                      <wps:spPr>
                        <a:xfrm>
                          <a:off x="0" y="0"/>
                          <a:ext cx="2240280" cy="5788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3A5E35" w14:paraId="7B7D65B3" w14:textId="77777777" w:rsidTr="00DC0B1C">
                              <w:trPr>
                                <w:trHeight w:hRule="exact" w:val="12348"/>
                              </w:trPr>
                              <w:tc>
                                <w:tcPr>
                                  <w:tcW w:w="3518" w:type="dxa"/>
                                  <w:shd w:val="clear" w:color="auto" w:fill="19386C" w:themeFill="accent1" w:themeFillShade="BF"/>
                                  <w:tcMar>
                                    <w:top w:w="288" w:type="dxa"/>
                                    <w:bottom w:w="288" w:type="dxa"/>
                                  </w:tcMar>
                                </w:tcPr>
                                <w:p w14:paraId="5C8C92DD" w14:textId="77777777" w:rsidR="003A5E35" w:rsidRDefault="003A5E35" w:rsidP="00F8252D">
                                  <w:pPr>
                                    <w:pStyle w:val="BlockHeading"/>
                                  </w:pPr>
                                  <w:r>
                                    <w:t>KEY Rulebook considerations</w:t>
                                  </w:r>
                                </w:p>
                                <w:p w14:paraId="17EB14C9" w14:textId="77777777" w:rsidR="003A5E35" w:rsidRDefault="003A5E35" w:rsidP="00B468C5">
                                  <w:pPr>
                                    <w:pStyle w:val="BlockText"/>
                                  </w:pPr>
                                  <w:r>
                                    <w:t>PRICING AND FEES</w:t>
                                  </w:r>
                                </w:p>
                                <w:p w14:paraId="30891719" w14:textId="77777777" w:rsidR="003A5E35" w:rsidRPr="00D606D5" w:rsidRDefault="003A5E35" w:rsidP="00B468C5">
                                  <w:pPr>
                                    <w:pStyle w:val="BlockText"/>
                                  </w:pPr>
                                  <w:r>
                                    <w:t>Real-time retail payments benefit from low inter-participant pricing, to perpetuate low end user pricing. Evidence shows this is likely to support the system reaching scale.</w:t>
                                  </w:r>
                                </w:p>
                                <w:p w14:paraId="1647D6C7" w14:textId="77777777" w:rsidR="003A5E35" w:rsidRDefault="003A5E35" w:rsidP="00027543">
                                  <w:pPr>
                                    <w:pStyle w:val="BlockText"/>
                                  </w:pPr>
                                  <w:r>
                                    <w:t>THE OPERATING GUIDELINE</w:t>
                                  </w:r>
                                </w:p>
                                <w:p w14:paraId="5D0748B6" w14:textId="77777777" w:rsidR="003A5E35" w:rsidRPr="00DC0B1C" w:rsidRDefault="003A5E35" w:rsidP="00027543">
                                  <w:pPr>
                                    <w:pStyle w:val="BlockText"/>
                                  </w:pPr>
                                  <w:r>
                                    <w:t>The operating guideline is an important appendix to the rulebook that often articulates the technical specifications and details that parties are obligated to. For example, the rulebook may state that an end-to-end transfer must be complete in 10 seconds. The operating guideline may detail time per leg of the end-to-end transfer, totalying 10 seconds.</w:t>
                                  </w:r>
                                </w:p>
                              </w:tc>
                            </w:tr>
                            <w:tr w:rsidR="003A5E35" w14:paraId="454F23E8" w14:textId="77777777">
                              <w:trPr>
                                <w:trHeight w:hRule="exact" w:val="288"/>
                              </w:trPr>
                              <w:tc>
                                <w:tcPr>
                                  <w:tcW w:w="3518" w:type="dxa"/>
                                </w:tcPr>
                                <w:p w14:paraId="14B38056" w14:textId="77777777" w:rsidR="003A5E35" w:rsidRDefault="003A5E35" w:rsidP="00F8252D"/>
                              </w:tc>
                            </w:tr>
                            <w:tr w:rsidR="003A5E35" w14:paraId="0064081A" w14:textId="77777777">
                              <w:trPr>
                                <w:trHeight w:hRule="exact" w:val="3312"/>
                              </w:trPr>
                              <w:tc>
                                <w:tcPr>
                                  <w:tcW w:w="3518" w:type="dxa"/>
                                </w:tcPr>
                                <w:p w14:paraId="08214BC2" w14:textId="77777777" w:rsidR="003A5E35" w:rsidRDefault="003A5E35" w:rsidP="00F8252D"/>
                              </w:tc>
                            </w:tr>
                          </w:tbl>
                          <w:p w14:paraId="189790E2" w14:textId="77777777" w:rsidR="003A5E35" w:rsidRDefault="003A5E35" w:rsidP="003A5E35">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12B41" id="Text Box 7" o:spid="_x0000_s1029" type="#_x0000_t202" alt="Text box sidebar" style="position:absolute;margin-left:354.15pt;margin-top:26.85pt;width:176.4pt;height:455.8pt;z-index:251667456;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&#13;&#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3A5E35" w14:paraId="7B7D65B3" w14:textId="77777777" w:rsidTr="00DC0B1C">
                        <w:trPr>
                          <w:trHeight w:hRule="exact" w:val="12348"/>
                        </w:trPr>
                        <w:tc>
                          <w:tcPr>
                            <w:tcW w:w="3518" w:type="dxa"/>
                            <w:shd w:val="clear" w:color="auto" w:fill="19386C" w:themeFill="accent1" w:themeFillShade="BF"/>
                            <w:tcMar>
                              <w:top w:w="288" w:type="dxa"/>
                              <w:bottom w:w="288" w:type="dxa"/>
                            </w:tcMar>
                          </w:tcPr>
                          <w:p w14:paraId="5C8C92DD" w14:textId="77777777" w:rsidR="003A5E35" w:rsidRDefault="003A5E35" w:rsidP="00F8252D">
                            <w:pPr>
                              <w:pStyle w:val="BlockHeading"/>
                            </w:pPr>
                            <w:r>
                              <w:t>KEY Rulebook considerations</w:t>
                            </w:r>
                          </w:p>
                          <w:p w14:paraId="17EB14C9" w14:textId="77777777" w:rsidR="003A5E35" w:rsidRDefault="003A5E35" w:rsidP="00B468C5">
                            <w:pPr>
                              <w:pStyle w:val="BlockText"/>
                            </w:pPr>
                            <w:r>
                              <w:t>PRICING AND FEES</w:t>
                            </w:r>
                          </w:p>
                          <w:p w14:paraId="30891719" w14:textId="77777777" w:rsidR="003A5E35" w:rsidRPr="00D606D5" w:rsidRDefault="003A5E35" w:rsidP="00B468C5">
                            <w:pPr>
                              <w:pStyle w:val="BlockText"/>
                            </w:pPr>
                            <w:r>
                              <w:t>Real-time retail payments benefit from low inter-participant pricing, to perpetuate low end user pricing. Evidence shows this is likely to support the system reaching scale.</w:t>
                            </w:r>
                          </w:p>
                          <w:p w14:paraId="1647D6C7" w14:textId="77777777" w:rsidR="003A5E35" w:rsidRDefault="003A5E35" w:rsidP="00027543">
                            <w:pPr>
                              <w:pStyle w:val="BlockText"/>
                            </w:pPr>
                            <w:r>
                              <w:t>THE OPERATING GUIDELINE</w:t>
                            </w:r>
                          </w:p>
                          <w:p w14:paraId="5D0748B6" w14:textId="77777777" w:rsidR="003A5E35" w:rsidRPr="00DC0B1C" w:rsidRDefault="003A5E35" w:rsidP="00027543">
                            <w:pPr>
                              <w:pStyle w:val="BlockText"/>
                            </w:pPr>
                            <w:r>
                              <w:t>The operating guideline is an important appendix to the rulebook that often articulates the technical specifications and details that parties are obligated to. For example, the rulebook may state that an end-to-end transfer must be complete in 10 seconds. The operating guideline may detail time per leg of the end-to-end transfer, totalying 10 seconds.</w:t>
                            </w:r>
                          </w:p>
                        </w:tc>
                      </w:tr>
                      <w:tr w:rsidR="003A5E35" w14:paraId="454F23E8" w14:textId="77777777">
                        <w:trPr>
                          <w:trHeight w:hRule="exact" w:val="288"/>
                        </w:trPr>
                        <w:tc>
                          <w:tcPr>
                            <w:tcW w:w="3518" w:type="dxa"/>
                          </w:tcPr>
                          <w:p w14:paraId="14B38056" w14:textId="77777777" w:rsidR="003A5E35" w:rsidRDefault="003A5E35" w:rsidP="00F8252D"/>
                        </w:tc>
                      </w:tr>
                      <w:tr w:rsidR="003A5E35" w14:paraId="0064081A" w14:textId="77777777">
                        <w:trPr>
                          <w:trHeight w:hRule="exact" w:val="3312"/>
                        </w:trPr>
                        <w:tc>
                          <w:tcPr>
                            <w:tcW w:w="3518" w:type="dxa"/>
                          </w:tcPr>
                          <w:p w14:paraId="08214BC2" w14:textId="77777777" w:rsidR="003A5E35" w:rsidRDefault="003A5E35" w:rsidP="00F8252D"/>
                        </w:tc>
                      </w:tr>
                    </w:tbl>
                    <w:p w14:paraId="189790E2" w14:textId="77777777" w:rsidR="003A5E35" w:rsidRDefault="003A5E35" w:rsidP="003A5E35">
                      <w:pPr>
                        <w:pStyle w:val="Caption"/>
                      </w:pPr>
                    </w:p>
                  </w:txbxContent>
                </v:textbox>
                <w10:wrap type="square" anchorx="margin" anchory="margin"/>
              </v:shape>
            </w:pict>
          </mc:Fallback>
        </mc:AlternateContent>
      </w:r>
    </w:p>
    <w:p w14:paraId="3970586B" w14:textId="1BBC902B" w:rsidR="00D606D5" w:rsidRPr="00D606D5" w:rsidRDefault="00027543" w:rsidP="00D606D5">
      <w:pPr>
        <w:pStyle w:val="ListParagraph"/>
        <w:numPr>
          <w:ilvl w:val="0"/>
          <w:numId w:val="1"/>
        </w:numPr>
        <w:spacing w:line="360" w:lineRule="auto"/>
        <w:rPr>
          <w:rFonts w:ascii="Avenir" w:hAnsi="Avenir" w:cstheme="minorHAnsi"/>
          <w:b/>
          <w:bCs/>
          <w:sz w:val="20"/>
          <w:szCs w:val="20"/>
        </w:rPr>
      </w:pPr>
      <w:r w:rsidRPr="00027543">
        <w:rPr>
          <w:rFonts w:ascii="Avenir" w:hAnsi="Avenir" w:cstheme="minorHAnsi"/>
          <w:b/>
          <w:bCs/>
          <w:sz w:val="20"/>
          <w:szCs w:val="20"/>
        </w:rPr>
        <w:t>Risk Managemen</w:t>
      </w:r>
      <w:r w:rsidR="00D606D5">
        <w:rPr>
          <w:rFonts w:ascii="Avenir" w:hAnsi="Avenir" w:cstheme="minorHAnsi"/>
          <w:b/>
          <w:bCs/>
          <w:sz w:val="20"/>
          <w:szCs w:val="20"/>
        </w:rPr>
        <w:t>t</w:t>
      </w:r>
    </w:p>
    <w:p w14:paraId="6651D61E" w14:textId="477E4622"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Objectives</w:t>
      </w:r>
    </w:p>
    <w:p w14:paraId="6C90269F" w14:textId="2A2706B5"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Overall approach and process</w:t>
      </w:r>
    </w:p>
    <w:p w14:paraId="712686EA" w14:textId="1C32EA66" w:rsidR="00027543" w:rsidRPr="00027543" w:rsidRDefault="00027543" w:rsidP="00027543">
      <w:pPr>
        <w:pStyle w:val="ListParagraph"/>
        <w:spacing w:line="360" w:lineRule="auto"/>
        <w:ind w:left="360"/>
        <w:rPr>
          <w:rFonts w:ascii="Avenir" w:hAnsi="Avenir" w:cstheme="minorHAnsi"/>
          <w:b/>
          <w:bCs/>
          <w:sz w:val="20"/>
          <w:szCs w:val="20"/>
        </w:rPr>
      </w:pPr>
      <w:r w:rsidRPr="00027543">
        <w:rPr>
          <w:rFonts w:ascii="Avenir" w:hAnsi="Avenir" w:cstheme="minorHAnsi"/>
          <w:b/>
          <w:bCs/>
          <w:sz w:val="20"/>
          <w:szCs w:val="20"/>
        </w:rPr>
        <w:t>Requirements</w:t>
      </w:r>
    </w:p>
    <w:p w14:paraId="6E12A13C"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Data and confidentiality</w:t>
      </w:r>
    </w:p>
    <w:p w14:paraId="5BC08018"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Business continuity</w:t>
      </w:r>
    </w:p>
    <w:p w14:paraId="02FEF7F5"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Security standards</w:t>
      </w:r>
    </w:p>
    <w:p w14:paraId="0A7B2050"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Network and connectivity standards</w:t>
      </w:r>
    </w:p>
    <w:p w14:paraId="30935A48"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Monitoring and reporting</w:t>
      </w:r>
    </w:p>
    <w:p w14:paraId="1FFB55FD" w14:textId="77777777" w:rsidR="00027543" w:rsidRPr="00027543" w:rsidRDefault="00027543" w:rsidP="00027543">
      <w:pPr>
        <w:pStyle w:val="ListParagraph"/>
        <w:spacing w:line="360" w:lineRule="auto"/>
        <w:ind w:left="360"/>
        <w:rPr>
          <w:rFonts w:ascii="Avenir" w:hAnsi="Avenir" w:cstheme="minorHAnsi"/>
          <w:b/>
          <w:bCs/>
          <w:sz w:val="20"/>
          <w:szCs w:val="20"/>
        </w:rPr>
      </w:pPr>
    </w:p>
    <w:p w14:paraId="081E8D56" w14:textId="77777777" w:rsidR="00027543" w:rsidRPr="00027543" w:rsidRDefault="00027543" w:rsidP="00027543">
      <w:pPr>
        <w:pStyle w:val="ListParagraph"/>
        <w:numPr>
          <w:ilvl w:val="0"/>
          <w:numId w:val="1"/>
        </w:numPr>
        <w:spacing w:line="360" w:lineRule="auto"/>
        <w:rPr>
          <w:rFonts w:ascii="Avenir" w:hAnsi="Avenir" w:cstheme="minorHAnsi"/>
          <w:b/>
          <w:bCs/>
          <w:sz w:val="20"/>
          <w:szCs w:val="20"/>
        </w:rPr>
      </w:pPr>
      <w:r w:rsidRPr="00027543">
        <w:rPr>
          <w:rFonts w:ascii="Avenir" w:hAnsi="Avenir" w:cstheme="minorHAnsi"/>
          <w:b/>
          <w:bCs/>
          <w:sz w:val="20"/>
          <w:szCs w:val="20"/>
        </w:rPr>
        <w:t>Pricing and Fees</w:t>
      </w:r>
    </w:p>
    <w:p w14:paraId="1720E3D7"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Types of Fees</w:t>
      </w:r>
    </w:p>
    <w:p w14:paraId="63D164CA"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Application of Fees (by transaction type, by role, etc.)</w:t>
      </w:r>
    </w:p>
    <w:p w14:paraId="73148BFC" w14:textId="77777777" w:rsidR="00027543" w:rsidRPr="00027543" w:rsidRDefault="00027543" w:rsidP="00027543">
      <w:pPr>
        <w:pStyle w:val="ListParagraph"/>
        <w:spacing w:line="360" w:lineRule="auto"/>
        <w:ind w:left="360"/>
        <w:rPr>
          <w:rFonts w:ascii="Avenir" w:hAnsi="Avenir" w:cstheme="minorHAnsi"/>
          <w:b/>
          <w:bCs/>
          <w:sz w:val="20"/>
          <w:szCs w:val="20"/>
        </w:rPr>
      </w:pPr>
    </w:p>
    <w:p w14:paraId="764B2899" w14:textId="77777777" w:rsidR="00027543" w:rsidRPr="00027543" w:rsidRDefault="00027543" w:rsidP="00027543">
      <w:pPr>
        <w:pStyle w:val="ListParagraph"/>
        <w:numPr>
          <w:ilvl w:val="0"/>
          <w:numId w:val="1"/>
        </w:numPr>
        <w:spacing w:line="360" w:lineRule="auto"/>
        <w:rPr>
          <w:rFonts w:ascii="Avenir" w:hAnsi="Avenir" w:cstheme="minorHAnsi"/>
          <w:b/>
          <w:bCs/>
          <w:sz w:val="20"/>
          <w:szCs w:val="20"/>
        </w:rPr>
      </w:pPr>
      <w:r w:rsidRPr="00027543">
        <w:rPr>
          <w:rFonts w:ascii="Avenir" w:hAnsi="Avenir" w:cstheme="minorHAnsi"/>
          <w:b/>
          <w:bCs/>
          <w:sz w:val="20"/>
          <w:szCs w:val="20"/>
        </w:rPr>
        <w:t>Branding</w:t>
      </w:r>
    </w:p>
    <w:p w14:paraId="3C615EB5"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Scheme brand</w:t>
      </w:r>
    </w:p>
    <w:p w14:paraId="7E7B1998" w14:textId="77777777" w:rsidR="00027543" w:rsidRPr="00027543" w:rsidRDefault="00027543" w:rsidP="00027543">
      <w:pPr>
        <w:pStyle w:val="ListParagraph"/>
        <w:spacing w:line="360" w:lineRule="auto"/>
        <w:ind w:left="360"/>
        <w:rPr>
          <w:rFonts w:ascii="Avenir" w:hAnsi="Avenir" w:cstheme="minorHAnsi"/>
          <w:bCs/>
          <w:sz w:val="20"/>
          <w:szCs w:val="20"/>
        </w:rPr>
      </w:pPr>
      <w:r w:rsidRPr="00027543">
        <w:rPr>
          <w:rFonts w:ascii="Avenir" w:hAnsi="Avenir" w:cstheme="minorHAnsi"/>
          <w:bCs/>
          <w:sz w:val="20"/>
          <w:szCs w:val="20"/>
        </w:rPr>
        <w:t>Branding requirements (by role)</w:t>
      </w:r>
    </w:p>
    <w:p w14:paraId="5391E63C" w14:textId="77777777" w:rsidR="00027543" w:rsidRPr="00027543" w:rsidRDefault="00027543" w:rsidP="00027543">
      <w:pPr>
        <w:pStyle w:val="ListParagraph"/>
        <w:spacing w:line="360" w:lineRule="auto"/>
        <w:ind w:left="360"/>
        <w:rPr>
          <w:rFonts w:ascii="Avenir" w:hAnsi="Avenir" w:cstheme="minorHAnsi"/>
          <w:bCs/>
          <w:sz w:val="20"/>
          <w:szCs w:val="20"/>
        </w:rPr>
      </w:pPr>
    </w:p>
    <w:p w14:paraId="21B84917" w14:textId="047DE57A" w:rsidR="00027543" w:rsidRPr="00027543" w:rsidRDefault="00027543" w:rsidP="00027543">
      <w:pPr>
        <w:pStyle w:val="ListParagraph"/>
        <w:numPr>
          <w:ilvl w:val="0"/>
          <w:numId w:val="1"/>
        </w:numPr>
        <w:spacing w:line="360" w:lineRule="auto"/>
        <w:rPr>
          <w:rFonts w:ascii="Avenir" w:hAnsi="Avenir" w:cstheme="minorHAnsi"/>
          <w:b/>
          <w:bCs/>
          <w:sz w:val="20"/>
          <w:szCs w:val="20"/>
        </w:rPr>
      </w:pPr>
      <w:r w:rsidRPr="00027543">
        <w:rPr>
          <w:rFonts w:ascii="Avenir" w:hAnsi="Avenir" w:cstheme="minorHAnsi"/>
          <w:b/>
          <w:bCs/>
          <w:sz w:val="20"/>
          <w:szCs w:val="20"/>
        </w:rPr>
        <w:t>Glossary</w:t>
      </w:r>
      <w:r>
        <w:rPr>
          <w:rFonts w:ascii="Avenir" w:hAnsi="Avenir" w:cstheme="minorHAnsi"/>
          <w:b/>
          <w:bCs/>
          <w:sz w:val="20"/>
          <w:szCs w:val="20"/>
        </w:rPr>
        <w:br/>
      </w:r>
    </w:p>
    <w:p w14:paraId="4CF0533A" w14:textId="77777777" w:rsidR="0055786F" w:rsidRDefault="00027543" w:rsidP="0055786F">
      <w:pPr>
        <w:pStyle w:val="ListParagraph"/>
        <w:spacing w:line="360" w:lineRule="auto"/>
        <w:ind w:left="360"/>
        <w:rPr>
          <w:rFonts w:ascii="Avenir" w:hAnsi="Avenir" w:cstheme="minorHAnsi"/>
          <w:bCs/>
          <w:sz w:val="20"/>
          <w:szCs w:val="20"/>
        </w:rPr>
      </w:pPr>
      <w:r w:rsidRPr="00027543">
        <w:rPr>
          <w:rFonts w:ascii="Avenir" w:hAnsi="Avenir" w:cstheme="minorHAnsi"/>
          <w:b/>
          <w:bCs/>
        </w:rPr>
        <w:t>Appendix: Operating Guidelines</w:t>
      </w:r>
      <w:r w:rsidR="0055786F" w:rsidRPr="0055786F">
        <w:rPr>
          <w:rFonts w:ascii="Avenir" w:hAnsi="Avenir" w:cstheme="minorHAnsi"/>
          <w:bCs/>
          <w:sz w:val="20"/>
          <w:szCs w:val="20"/>
        </w:rPr>
        <w:t xml:space="preserve"> </w:t>
      </w:r>
    </w:p>
    <w:p w14:paraId="5DDFB524" w14:textId="37E35B27" w:rsidR="0055786F" w:rsidRPr="00027543" w:rsidRDefault="0055786F" w:rsidP="0055786F">
      <w:pPr>
        <w:pStyle w:val="ListParagraph"/>
        <w:spacing w:line="360" w:lineRule="auto"/>
        <w:ind w:left="360"/>
        <w:rPr>
          <w:rFonts w:ascii="Avenir" w:hAnsi="Avenir" w:cstheme="minorHAnsi"/>
          <w:bCs/>
          <w:sz w:val="20"/>
          <w:szCs w:val="20"/>
        </w:rPr>
      </w:pPr>
      <w:r>
        <w:rPr>
          <w:rFonts w:ascii="Avenir" w:hAnsi="Avenir" w:cstheme="minorHAnsi"/>
          <w:bCs/>
          <w:sz w:val="20"/>
          <w:szCs w:val="20"/>
        </w:rPr>
        <w:t>Additional technical detail necessary to operate within the scheme</w:t>
      </w:r>
    </w:p>
    <w:p w14:paraId="48E132A6" w14:textId="6A350BC1" w:rsidR="00515B47" w:rsidRDefault="00515B47" w:rsidP="00027543">
      <w:pPr>
        <w:spacing w:line="360" w:lineRule="auto"/>
        <w:rPr>
          <w:rFonts w:ascii="Avenir" w:hAnsi="Avenir" w:cstheme="minorHAnsi"/>
          <w:b/>
          <w:bCs/>
        </w:rPr>
      </w:pPr>
    </w:p>
    <w:p w14:paraId="5B04ADB3" w14:textId="77777777" w:rsidR="0055786F" w:rsidRPr="00027543" w:rsidRDefault="0055786F" w:rsidP="00027543">
      <w:pPr>
        <w:spacing w:line="360" w:lineRule="auto"/>
        <w:rPr>
          <w:rFonts w:ascii="Avenir" w:hAnsi="Avenir" w:cstheme="minorHAnsi"/>
          <w:b/>
          <w:bCs/>
        </w:rPr>
      </w:pPr>
    </w:p>
    <w:sectPr w:rsidR="0055786F" w:rsidRPr="00027543" w:rsidSect="00B70D5B">
      <w:type w:val="continuous"/>
      <w:pgSz w:w="12240" w:h="15840"/>
      <w:pgMar w:top="792" w:right="720" w:bottom="720" w:left="720" w:header="720" w:footer="720" w:gutter="0"/>
      <w:cols w:num="2"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8B484" w16cex:dateUtc="2021-02-18T15:40:00Z"/>
  <w16cex:commentExtensible w16cex:durableId="23D8B879" w16cex:dateUtc="2021-02-18T15:57:00Z"/>
  <w16cex:commentExtensible w16cex:durableId="23D8E43F" w16cex:dateUtc="2021-02-18T18:03:00Z"/>
  <w16cex:commentExtensible w16cex:durableId="23D8E47C" w16cex:dateUtc="2021-02-18T18:05:00Z"/>
  <w16cex:commentExtensible w16cex:durableId="23D8E4D3" w16cex:dateUtc="2021-02-18T18: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EEE44" w14:textId="77777777" w:rsidR="005A7B82" w:rsidRDefault="005A7B82" w:rsidP="00F8252D">
      <w:r>
        <w:separator/>
      </w:r>
    </w:p>
  </w:endnote>
  <w:endnote w:type="continuationSeparator" w:id="0">
    <w:p w14:paraId="3E6AE5DA" w14:textId="77777777" w:rsidR="005A7B82" w:rsidRDefault="005A7B82" w:rsidP="00F82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Open Sans Light">
    <w:altName w:val="Calibri"/>
    <w:panose1 w:val="020B0604020202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venir Book">
    <w:altName w:val="Avenir Book"/>
    <w:panose1 w:val="02000503020000020003"/>
    <w:charset w:val="00"/>
    <w:family w:val="auto"/>
    <w:pitch w:val="variable"/>
    <w:sig w:usb0="800000AF" w:usb1="5000204A" w:usb2="00000000" w:usb3="00000000" w:csb0="0000009B" w:csb1="00000000"/>
  </w:font>
  <w:font w:name="Avenir">
    <w:altName w:val="Calibri"/>
    <w:panose1 w:val="020B0503020203020204"/>
    <w:charset w:val="4D"/>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1460443"/>
      <w:docPartObj>
        <w:docPartGallery w:val="Page Numbers (Bottom of Page)"/>
        <w:docPartUnique/>
      </w:docPartObj>
    </w:sdtPr>
    <w:sdtEndPr>
      <w:rPr>
        <w:rStyle w:val="PageNumber"/>
      </w:rPr>
    </w:sdtEndPr>
    <w:sdtContent>
      <w:p w14:paraId="0CC6D150" w14:textId="77777777" w:rsidR="00BF2233" w:rsidRDefault="00BF2233" w:rsidP="00013C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589B84" w14:textId="77777777" w:rsidR="00BF2233" w:rsidRDefault="00BF2233" w:rsidP="00BF22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DA9D2" w14:textId="0BBE7D6D" w:rsidR="00BF2233" w:rsidRPr="00004799" w:rsidRDefault="004F0720" w:rsidP="00004799">
    <w:pPr>
      <w:rPr>
        <w:rFonts w:ascii="Avenir Book" w:eastAsia="Times New Roman" w:hAnsi="Avenir Book" w:cs="Times New Roman"/>
        <w:i/>
        <w:iCs/>
        <w:color w:val="222222"/>
        <w:shd w:val="clear" w:color="auto" w:fill="FFFFFF"/>
      </w:rPr>
    </w:pPr>
    <w:r w:rsidRPr="004F0720">
      <w:drawing>
        <wp:inline distT="0" distB="0" distL="0" distR="0" wp14:anchorId="3A3CC7A7" wp14:editId="09B1E255">
          <wp:extent cx="1186774" cy="1804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23027" cy="185946"/>
                  </a:xfrm>
                  <a:prstGeom prst="rect">
                    <a:avLst/>
                  </a:prstGeom>
                </pic:spPr>
              </pic:pic>
            </a:graphicData>
          </a:graphic>
        </wp:inline>
      </w:drawing>
    </w:r>
    <w:r w:rsidR="00170978">
      <w:ptab w:relativeTo="margin" w:alignment="center" w:leader="none"/>
    </w:r>
    <w:r>
      <w:t>Last Modified: February 1</w:t>
    </w:r>
    <w:r w:rsidR="0095671D">
      <w:t>8</w:t>
    </w:r>
    <w:r>
      <w:t>, 2021</w:t>
    </w:r>
    <w:r w:rsidR="00170978">
      <w:ptab w:relativeTo="margin" w:alignment="right" w:leader="none"/>
    </w:r>
    <w:r w:rsidR="00170978" w:rsidRPr="00170978">
      <w:rPr>
        <w:rFonts w:ascii="Times New Roman" w:eastAsia="Times New Roman" w:hAnsi="Times New Roman" w:cs="Times New Roman"/>
        <w:noProof w:val="0"/>
        <w:color w:val="auto"/>
        <w:kern w:val="0"/>
        <w:sz w:val="24"/>
        <w:szCs w:val="24"/>
        <w:lang w:eastAsia="en-US"/>
        <w14:ligatures w14:val="none"/>
      </w:rPr>
      <w:fldChar w:fldCharType="begin"/>
    </w:r>
    <w:r w:rsidR="00170978" w:rsidRPr="00170978">
      <w:rPr>
        <w:rFonts w:ascii="Times New Roman" w:eastAsia="Times New Roman" w:hAnsi="Times New Roman" w:cs="Times New Roman"/>
        <w:noProof w:val="0"/>
        <w:color w:val="auto"/>
        <w:kern w:val="0"/>
        <w:sz w:val="24"/>
        <w:szCs w:val="24"/>
        <w:lang w:eastAsia="en-US"/>
        <w14:ligatures w14:val="none"/>
      </w:rPr>
      <w:instrText xml:space="preserve"> INCLUDEPICTURE "https://www.gavi.org/sites/default/files/2019-11/bmgf-topspace.jpg" \* MERGEFORMATINET </w:instrText>
    </w:r>
    <w:r w:rsidR="00170978" w:rsidRPr="00170978">
      <w:rPr>
        <w:rFonts w:ascii="Times New Roman" w:eastAsia="Times New Roman" w:hAnsi="Times New Roman" w:cs="Times New Roman"/>
        <w:noProof w:val="0"/>
        <w:color w:val="auto"/>
        <w:kern w:val="0"/>
        <w:sz w:val="24"/>
        <w:szCs w:val="24"/>
        <w:lang w:eastAsia="en-US"/>
        <w14:ligatures w14:val="none"/>
      </w:rPr>
      <w:fldChar w:fldCharType="separate"/>
    </w:r>
    <w:r w:rsidR="00170978" w:rsidRPr="00170978">
      <w:rPr>
        <w:rFonts w:ascii="Times New Roman" w:eastAsia="Times New Roman" w:hAnsi="Times New Roman" w:cs="Times New Roman"/>
        <w:color w:val="auto"/>
        <w:kern w:val="0"/>
        <w:sz w:val="24"/>
        <w:szCs w:val="24"/>
        <w:lang w:eastAsia="en-US"/>
        <w14:ligatures w14:val="none"/>
      </w:rPr>
      <w:drawing>
        <wp:inline distT="0" distB="0" distL="0" distR="0" wp14:anchorId="39003C31" wp14:editId="7D5A2C2B">
          <wp:extent cx="1234373" cy="262647"/>
          <wp:effectExtent l="0" t="0" r="0" b="4445"/>
          <wp:docPr id="9" name="Picture 9" descr="Image result for gates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tes foundatio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8901" cy="274249"/>
                  </a:xfrm>
                  <a:prstGeom prst="rect">
                    <a:avLst/>
                  </a:prstGeom>
                  <a:noFill/>
                  <a:ln>
                    <a:noFill/>
                  </a:ln>
                </pic:spPr>
              </pic:pic>
            </a:graphicData>
          </a:graphic>
        </wp:inline>
      </w:drawing>
    </w:r>
    <w:r w:rsidR="00170978" w:rsidRPr="00170978">
      <w:rPr>
        <w:rFonts w:ascii="Times New Roman" w:eastAsia="Times New Roman" w:hAnsi="Times New Roman" w:cs="Times New Roman"/>
        <w:noProof w:val="0"/>
        <w:color w:val="auto"/>
        <w:kern w:val="0"/>
        <w:sz w:val="24"/>
        <w:szCs w:val="24"/>
        <w:lang w:eastAsia="en-US"/>
        <w14:ligatures w14: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0174D" w14:textId="77777777" w:rsidR="005A7B82" w:rsidRDefault="005A7B82" w:rsidP="00F8252D">
      <w:r>
        <w:separator/>
      </w:r>
    </w:p>
  </w:footnote>
  <w:footnote w:type="continuationSeparator" w:id="0">
    <w:p w14:paraId="48487CB2" w14:textId="77777777" w:rsidR="005A7B82" w:rsidRDefault="005A7B82" w:rsidP="00F825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6055EE"/>
    <w:multiLevelType w:val="multilevel"/>
    <w:tmpl w:val="3E1E88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sz w:val="24"/>
        <w:szCs w:val="24"/>
      </w:rPr>
    </w:lvl>
    <w:lvl w:ilvl="3">
      <w:start w:val="1"/>
      <w:numFmt w:val="decimal"/>
      <w:lvlText w:val="%1.%2.%3.%4."/>
      <w:lvlJc w:val="left"/>
      <w:pPr>
        <w:ind w:left="1728" w:hanging="648"/>
      </w:pPr>
      <w:rPr>
        <w:b w:val="0"/>
        <w:bCs/>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52D"/>
    <w:rsid w:val="00004799"/>
    <w:rsid w:val="00026792"/>
    <w:rsid w:val="00027543"/>
    <w:rsid w:val="000511E6"/>
    <w:rsid w:val="000844C0"/>
    <w:rsid w:val="000F5FB7"/>
    <w:rsid w:val="00154653"/>
    <w:rsid w:val="00170978"/>
    <w:rsid w:val="001B1BCC"/>
    <w:rsid w:val="001E4DF6"/>
    <w:rsid w:val="00233481"/>
    <w:rsid w:val="00331016"/>
    <w:rsid w:val="00392B86"/>
    <w:rsid w:val="003A5E35"/>
    <w:rsid w:val="00403882"/>
    <w:rsid w:val="00470CF4"/>
    <w:rsid w:val="004A4AAF"/>
    <w:rsid w:val="004B323F"/>
    <w:rsid w:val="004F0720"/>
    <w:rsid w:val="00502EA5"/>
    <w:rsid w:val="00515B47"/>
    <w:rsid w:val="0055786F"/>
    <w:rsid w:val="00567FF9"/>
    <w:rsid w:val="00590EDC"/>
    <w:rsid w:val="005A7B82"/>
    <w:rsid w:val="00605F12"/>
    <w:rsid w:val="0065434C"/>
    <w:rsid w:val="00692CA7"/>
    <w:rsid w:val="007501E4"/>
    <w:rsid w:val="0075315B"/>
    <w:rsid w:val="007E62A9"/>
    <w:rsid w:val="00840D3A"/>
    <w:rsid w:val="008956E6"/>
    <w:rsid w:val="0089656C"/>
    <w:rsid w:val="008B72EF"/>
    <w:rsid w:val="00904513"/>
    <w:rsid w:val="00926EA3"/>
    <w:rsid w:val="0095671D"/>
    <w:rsid w:val="00985642"/>
    <w:rsid w:val="009C1394"/>
    <w:rsid w:val="009D5BBB"/>
    <w:rsid w:val="009F77A7"/>
    <w:rsid w:val="00A05736"/>
    <w:rsid w:val="00A82319"/>
    <w:rsid w:val="00AD08C8"/>
    <w:rsid w:val="00B4294B"/>
    <w:rsid w:val="00B468C5"/>
    <w:rsid w:val="00B70D5B"/>
    <w:rsid w:val="00BF2233"/>
    <w:rsid w:val="00C057AC"/>
    <w:rsid w:val="00C06DE5"/>
    <w:rsid w:val="00D458DD"/>
    <w:rsid w:val="00D530E7"/>
    <w:rsid w:val="00D54EE1"/>
    <w:rsid w:val="00D606D5"/>
    <w:rsid w:val="00DC0B1C"/>
    <w:rsid w:val="00DE0A6D"/>
    <w:rsid w:val="00F14DDB"/>
    <w:rsid w:val="00F15EA5"/>
    <w:rsid w:val="00F52A63"/>
    <w:rsid w:val="00F8252D"/>
    <w:rsid w:val="00FA3D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1F9C87"/>
  <w15:chartTrackingRefBased/>
  <w15:docId w15:val="{7324FC77-C53E-7440-99D5-03DFB0F3C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252D"/>
    <w:pPr>
      <w:spacing w:line="240" w:lineRule="auto"/>
    </w:pPr>
    <w:rPr>
      <w:rFonts w:ascii="Open Sans Light" w:hAnsi="Open Sans Light"/>
      <w:noProof/>
    </w:rPr>
  </w:style>
  <w:style w:type="paragraph" w:styleId="Heading1">
    <w:name w:val="heading 1"/>
    <w:basedOn w:val="Normal"/>
    <w:next w:val="Normal"/>
    <w:link w:val="Heading1Char"/>
    <w:uiPriority w:val="3"/>
    <w:qFormat/>
    <w:rsid w:val="00F8252D"/>
    <w:pPr>
      <w:keepNext/>
      <w:keepLines/>
      <w:spacing w:before="360" w:after="140"/>
      <w:outlineLvl w:val="0"/>
    </w:pPr>
    <w:rPr>
      <w:rFonts w:eastAsiaTheme="majorEastAsia" w:cstheme="majorBidi"/>
      <w:b/>
      <w:bCs/>
      <w:caps/>
      <w:color w:val="19386C" w:themeColor="accent1" w:themeShade="BF"/>
      <w:sz w:val="24"/>
    </w:rPr>
  </w:style>
  <w:style w:type="paragraph" w:styleId="Heading2">
    <w:name w:val="heading 2"/>
    <w:basedOn w:val="Normal"/>
    <w:next w:val="Normal"/>
    <w:link w:val="Heading2Char"/>
    <w:uiPriority w:val="3"/>
    <w:unhideWhenUsed/>
    <w:qFormat/>
    <w:rsid w:val="00F8252D"/>
    <w:pPr>
      <w:keepNext/>
      <w:keepLines/>
      <w:spacing w:before="200" w:after="120"/>
      <w:outlineLvl w:val="1"/>
    </w:pPr>
    <w:rPr>
      <w:rFonts w:eastAsiaTheme="majorEastAsia" w:cstheme="majorBidi"/>
      <w:color w:val="19386C" w:themeColor="accent1" w:themeShade="BF"/>
      <w:sz w:val="24"/>
    </w:rPr>
  </w:style>
  <w:style w:type="paragraph" w:styleId="Heading3">
    <w:name w:val="heading 3"/>
    <w:basedOn w:val="Normal"/>
    <w:next w:val="Normal"/>
    <w:link w:val="Heading3Char"/>
    <w:uiPriority w:val="3"/>
    <w:unhideWhenUsed/>
    <w:qFormat/>
    <w:rsid w:val="00F8252D"/>
    <w:pPr>
      <w:keepNext/>
      <w:keepLines/>
      <w:spacing w:before="120" w:after="0"/>
      <w:outlineLvl w:val="2"/>
    </w:pPr>
    <w:rPr>
      <w:b/>
      <w:bCs/>
      <w:color w:val="539124" w:themeColor="accent5"/>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19386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rsid w:val="00F8252D"/>
    <w:pPr>
      <w:spacing w:before="120" w:after="0" w:line="204" w:lineRule="auto"/>
      <w:contextualSpacing/>
    </w:pPr>
    <w:rPr>
      <w:rFonts w:eastAsiaTheme="majorEastAsia" w:cstheme="majorBidi"/>
      <w:b/>
      <w:bCs/>
      <w:caps/>
      <w:color w:val="224B91" w:themeColor="accent1"/>
      <w:kern w:val="28"/>
      <w:sz w:val="78"/>
    </w:rPr>
  </w:style>
  <w:style w:type="character" w:customStyle="1" w:styleId="TitleChar">
    <w:name w:val="Title Char"/>
    <w:basedOn w:val="DefaultParagraphFont"/>
    <w:link w:val="Title"/>
    <w:uiPriority w:val="1"/>
    <w:rsid w:val="00F8252D"/>
    <w:rPr>
      <w:rFonts w:ascii="Open Sans Light" w:eastAsiaTheme="majorEastAsia" w:hAnsi="Open Sans Light" w:cstheme="majorBidi"/>
      <w:b/>
      <w:bCs/>
      <w:caps/>
      <w:color w:val="224B91" w:themeColor="accent1"/>
      <w:kern w:val="28"/>
      <w:sz w:val="78"/>
    </w:rPr>
  </w:style>
  <w:style w:type="paragraph" w:styleId="Subtitle">
    <w:name w:val="Subtitle"/>
    <w:basedOn w:val="Normal"/>
    <w:link w:val="SubtitleChar"/>
    <w:uiPriority w:val="11"/>
    <w:qFormat/>
    <w:rsid w:val="00F8252D"/>
    <w:pPr>
      <w:numPr>
        <w:ilvl w:val="1"/>
      </w:numPr>
      <w:spacing w:before="240" w:after="360"/>
    </w:pPr>
    <w:rPr>
      <w:rFonts w:eastAsiaTheme="majorEastAsia" w:cstheme="majorBidi"/>
      <w:color w:val="224B91" w:themeColor="accent1"/>
      <w:sz w:val="24"/>
    </w:rPr>
  </w:style>
  <w:style w:type="character" w:customStyle="1" w:styleId="SubtitleChar">
    <w:name w:val="Subtitle Char"/>
    <w:basedOn w:val="DefaultParagraphFont"/>
    <w:link w:val="Subtitle"/>
    <w:uiPriority w:val="11"/>
    <w:rsid w:val="00F8252D"/>
    <w:rPr>
      <w:rFonts w:ascii="Open Sans Light" w:eastAsiaTheme="majorEastAsia" w:hAnsi="Open Sans Light" w:cstheme="majorBidi"/>
      <w:color w:val="224B91" w:themeColor="accent1"/>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sid w:val="00F8252D"/>
    <w:rPr>
      <w:rFonts w:ascii="Open Sans Light" w:eastAsiaTheme="majorEastAsia" w:hAnsi="Open Sans Light" w:cstheme="majorBidi"/>
      <w:b/>
      <w:bCs/>
      <w:caps/>
      <w:color w:val="19386C" w:themeColor="accent1" w:themeShade="BF"/>
      <w:sz w:val="24"/>
    </w:rPr>
  </w:style>
  <w:style w:type="paragraph" w:customStyle="1" w:styleId="BlockHeading">
    <w:name w:val="Block Heading"/>
    <w:basedOn w:val="Normal"/>
    <w:next w:val="BlockText"/>
    <w:uiPriority w:val="3"/>
    <w:qFormat/>
    <w:rsid w:val="00F8252D"/>
    <w:pPr>
      <w:spacing w:after="180" w:line="216" w:lineRule="auto"/>
      <w:ind w:left="288" w:right="288"/>
    </w:pPr>
    <w:rPr>
      <w:rFonts w:eastAsiaTheme="majorEastAsia" w:cstheme="majorBidi"/>
      <w:b/>
      <w:bCs/>
      <w:caps/>
      <w:color w:val="FFFFFF" w:themeColor="background1"/>
      <w:sz w:val="28"/>
    </w:rPr>
  </w:style>
  <w:style w:type="paragraph" w:styleId="Caption">
    <w:name w:val="caption"/>
    <w:basedOn w:val="Normal"/>
    <w:next w:val="Normal"/>
    <w:uiPriority w:val="3"/>
    <w:unhideWhenUsed/>
    <w:qFormat/>
    <w:pPr>
      <w:spacing w:before="120" w:after="0"/>
    </w:pPr>
    <w:rPr>
      <w:i/>
      <w:iCs/>
      <w:color w:val="595959" w:themeColor="text1" w:themeTint="A6"/>
      <w:sz w:val="18"/>
    </w:rPr>
  </w:style>
  <w:style w:type="paragraph" w:styleId="BlockText">
    <w:name w:val="Block Text"/>
    <w:basedOn w:val="Normal"/>
    <w:uiPriority w:val="3"/>
    <w:unhideWhenUsed/>
    <w:qFormat/>
    <w:rsid w:val="00F8252D"/>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sid w:val="00F8252D"/>
    <w:rPr>
      <w:rFonts w:ascii="Open Sans Light" w:eastAsiaTheme="majorEastAsia" w:hAnsi="Open Sans Light" w:cstheme="majorBidi"/>
      <w:color w:val="19386C" w:themeColor="accent1" w:themeShade="BF"/>
      <w:sz w:val="24"/>
    </w:rPr>
  </w:style>
  <w:style w:type="character" w:customStyle="1" w:styleId="Heading3Char">
    <w:name w:val="Heading 3 Char"/>
    <w:basedOn w:val="DefaultParagraphFont"/>
    <w:link w:val="Heading3"/>
    <w:uiPriority w:val="3"/>
    <w:rsid w:val="00F8252D"/>
    <w:rPr>
      <w:rFonts w:ascii="Open Sans Light" w:hAnsi="Open Sans Light"/>
      <w:b/>
      <w:bCs/>
      <w:color w:val="539124" w:themeColor="accent5"/>
    </w:rPr>
  </w:style>
  <w:style w:type="paragraph" w:styleId="Quote">
    <w:name w:val="Quote"/>
    <w:basedOn w:val="Normal"/>
    <w:next w:val="Normal"/>
    <w:link w:val="QuoteChar"/>
    <w:uiPriority w:val="3"/>
    <w:qFormat/>
    <w:rsid w:val="00BF2233"/>
    <w:pPr>
      <w:pBdr>
        <w:top w:val="single" w:sz="6" w:space="4" w:color="4D6EA7" w:themeColor="accent6"/>
        <w:bottom w:val="single" w:sz="6" w:space="4" w:color="4D6EA7" w:themeColor="accent6"/>
      </w:pBdr>
      <w:spacing w:before="200"/>
      <w:ind w:left="864" w:right="864"/>
      <w:jc w:val="center"/>
    </w:pPr>
    <w:rPr>
      <w:b/>
      <w:bCs/>
      <w:i/>
      <w:iCs/>
      <w:color w:val="224B91" w:themeColor="accent1"/>
      <w:sz w:val="28"/>
    </w:rPr>
  </w:style>
  <w:style w:type="character" w:customStyle="1" w:styleId="QuoteChar">
    <w:name w:val="Quote Char"/>
    <w:basedOn w:val="DefaultParagraphFont"/>
    <w:link w:val="Quote"/>
    <w:uiPriority w:val="3"/>
    <w:rsid w:val="00BF2233"/>
    <w:rPr>
      <w:rFonts w:ascii="Open Sans Light" w:hAnsi="Open Sans Light"/>
      <w:b/>
      <w:bCs/>
      <w:i/>
      <w:iCs/>
      <w:noProof/>
      <w:color w:val="224B91" w:themeColor="accent1"/>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pPr>
    <w:rPr>
      <w:rFonts w:asciiTheme="majorHAnsi" w:eastAsiaTheme="majorEastAsia" w:hAnsiTheme="majorHAnsi" w:cstheme="majorBidi"/>
      <w:color w:val="19386C"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19386C"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9386C" w:themeColor="accent1" w:themeShade="BF"/>
    </w:rPr>
  </w:style>
  <w:style w:type="character" w:styleId="IntenseEmphasis">
    <w:name w:val="Intense Emphasis"/>
    <w:basedOn w:val="DefaultParagraphFont"/>
    <w:uiPriority w:val="21"/>
    <w:semiHidden/>
    <w:unhideWhenUsed/>
    <w:qFormat/>
    <w:rPr>
      <w:i/>
      <w:iCs/>
      <w:color w:val="19386C"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19386C" w:themeColor="accent1" w:themeShade="BF"/>
        <w:bottom w:val="single" w:sz="4" w:space="10" w:color="19386C" w:themeColor="accent1" w:themeShade="BF"/>
      </w:pBdr>
      <w:spacing w:before="360" w:after="360"/>
      <w:ind w:left="864" w:right="864"/>
      <w:jc w:val="center"/>
    </w:pPr>
    <w:rPr>
      <w:i/>
      <w:iCs/>
      <w:color w:val="19386C" w:themeColor="accent1" w:themeShade="BF"/>
    </w:rPr>
  </w:style>
  <w:style w:type="character" w:customStyle="1" w:styleId="IntenseQuoteChar">
    <w:name w:val="Intense Quote Char"/>
    <w:basedOn w:val="DefaultParagraphFont"/>
    <w:link w:val="IntenseQuote"/>
    <w:uiPriority w:val="30"/>
    <w:semiHidden/>
    <w:rPr>
      <w:i/>
      <w:iCs/>
      <w:color w:val="19386C" w:themeColor="accent1" w:themeShade="BF"/>
    </w:rPr>
  </w:style>
  <w:style w:type="character" w:styleId="IntenseReference">
    <w:name w:val="Intense Reference"/>
    <w:basedOn w:val="DefaultParagraphFont"/>
    <w:uiPriority w:val="32"/>
    <w:semiHidden/>
    <w:unhideWhenUsed/>
    <w:qFormat/>
    <w:rPr>
      <w:b/>
      <w:bCs/>
      <w:caps w:val="0"/>
      <w:smallCaps/>
      <w:color w:val="19386C" w:themeColor="accent1" w:themeShade="BF"/>
      <w:spacing w:val="5"/>
    </w:rPr>
  </w:style>
  <w:style w:type="paragraph" w:styleId="Header">
    <w:name w:val="header"/>
    <w:basedOn w:val="Normal"/>
    <w:link w:val="HeaderChar"/>
    <w:uiPriority w:val="99"/>
    <w:pPr>
      <w:tabs>
        <w:tab w:val="center" w:pos="4680"/>
        <w:tab w:val="right" w:pos="9360"/>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rPr>
  </w:style>
  <w:style w:type="character" w:styleId="PageNumber">
    <w:name w:val="page number"/>
    <w:basedOn w:val="DefaultParagraphFont"/>
    <w:uiPriority w:val="99"/>
    <w:semiHidden/>
    <w:unhideWhenUsed/>
    <w:rsid w:val="00BF2233"/>
  </w:style>
  <w:style w:type="paragraph" w:styleId="CommentSubject">
    <w:name w:val="annotation subject"/>
    <w:basedOn w:val="CommentText"/>
    <w:next w:val="CommentText"/>
    <w:link w:val="CommentSubjectChar"/>
    <w:uiPriority w:val="99"/>
    <w:semiHidden/>
    <w:unhideWhenUsed/>
    <w:rsid w:val="00154653"/>
    <w:pPr>
      <w:spacing w:after="200"/>
    </w:pPr>
    <w:rPr>
      <w:b/>
      <w:bCs/>
      <w:color w:val="404040" w:themeColor="text1" w:themeTint="BF"/>
      <w:kern w:val="2"/>
      <w:lang w:eastAsia="ja-JP"/>
      <w14:ligatures w14:val="standard"/>
    </w:rPr>
  </w:style>
  <w:style w:type="character" w:customStyle="1" w:styleId="CommentSubjectChar">
    <w:name w:val="Comment Subject Char"/>
    <w:basedOn w:val="CommentTextChar"/>
    <w:link w:val="CommentSubject"/>
    <w:uiPriority w:val="99"/>
    <w:semiHidden/>
    <w:rsid w:val="00154653"/>
    <w:rPr>
      <w:rFonts w:ascii="Open Sans Light" w:hAnsi="Open Sans Light"/>
      <w:b/>
      <w:bCs/>
      <w:noProof/>
      <w:color w:val="auto"/>
      <w:kern w:val="0"/>
      <w:lang w:eastAsia="en-US"/>
      <w14:ligatures w14:val="none"/>
    </w:rPr>
  </w:style>
  <w:style w:type="table" w:styleId="PlainTable1">
    <w:name w:val="Plain Table 1"/>
    <w:basedOn w:val="TableNormal"/>
    <w:uiPriority w:val="41"/>
    <w:rsid w:val="00027543"/>
    <w:pPr>
      <w:spacing w:after="0" w:line="240" w:lineRule="auto"/>
    </w:pPr>
    <w:rPr>
      <w:color w:val="auto"/>
      <w:kern w:val="0"/>
      <w:sz w:val="24"/>
      <w:szCs w:val="24"/>
      <w:lang w:eastAsia="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027543"/>
    <w:pPr>
      <w:spacing w:after="0"/>
      <w:ind w:left="720"/>
      <w:contextualSpacing/>
    </w:pPr>
    <w:rPr>
      <w:rFonts w:ascii="Times New Roman" w:eastAsia="Times New Roman" w:hAnsi="Times New Roman" w:cs="Times New Roman"/>
      <w:noProof w:val="0"/>
      <w:color w:val="auto"/>
      <w:kern w:val="0"/>
      <w:sz w:val="24"/>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879406">
      <w:bodyDiv w:val="1"/>
      <w:marLeft w:val="0"/>
      <w:marRight w:val="0"/>
      <w:marTop w:val="0"/>
      <w:marBottom w:val="0"/>
      <w:divBdr>
        <w:top w:val="none" w:sz="0" w:space="0" w:color="auto"/>
        <w:left w:val="none" w:sz="0" w:space="0" w:color="auto"/>
        <w:bottom w:val="none" w:sz="0" w:space="0" w:color="auto"/>
        <w:right w:val="none" w:sz="0" w:space="0" w:color="auto"/>
      </w:divBdr>
    </w:div>
    <w:div w:id="153245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dreasutherland/Downloads/tf03200096.dotx" TargetMode="External"/></Relationships>
</file>

<file path=word/theme/theme1.xml><?xml version="1.0" encoding="utf-8"?>
<a:theme xmlns:a="http://schemas.openxmlformats.org/drawingml/2006/main" name="Office Theme">
  <a:themeElements>
    <a:clrScheme name="EthSwitch Colors">
      <a:dk1>
        <a:srgbClr val="000000"/>
      </a:dk1>
      <a:lt1>
        <a:srgbClr val="FFFFFF"/>
      </a:lt1>
      <a:dk2>
        <a:srgbClr val="44546A"/>
      </a:dk2>
      <a:lt2>
        <a:srgbClr val="E7E6E6"/>
      </a:lt2>
      <a:accent1>
        <a:srgbClr val="224B91"/>
      </a:accent1>
      <a:accent2>
        <a:srgbClr val="ECC033"/>
      </a:accent2>
      <a:accent3>
        <a:srgbClr val="758FBB"/>
      </a:accent3>
      <a:accent4>
        <a:srgbClr val="CC2824"/>
      </a:accent4>
      <a:accent5>
        <a:srgbClr val="539124"/>
      </a:accent5>
      <a:accent6>
        <a:srgbClr val="4D6EA7"/>
      </a:accent6>
      <a:hlink>
        <a:srgbClr val="0563C1"/>
      </a:hlink>
      <a:folHlink>
        <a:srgbClr val="647CB2"/>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D321EB67C22E438360ADA3089EAF63" ma:contentTypeVersion="16" ma:contentTypeDescription="Create a new document." ma:contentTypeScope="" ma:versionID="57dbed7738dfb6c8c40dd2a0ffd06af0">
  <xsd:schema xmlns:xsd="http://www.w3.org/2001/XMLSchema" xmlns:xs="http://www.w3.org/2001/XMLSchema" xmlns:p="http://schemas.microsoft.com/office/2006/metadata/properties" xmlns:ns2="d4e34bb9-44fc-4c5c-9381-0d945942ec9d" xmlns:ns3="b56933ad-6dd2-4ed4-a723-955a7addd4c1" xmlns:ns4="02e959f2-c4b1-4c82-8ad2-fbdae0af7fef" targetNamespace="http://schemas.microsoft.com/office/2006/metadata/properties" ma:root="true" ma:fieldsID="aaa8a0a4bc56637bae4b63abd3b296f4" ns2:_="" ns3:_="" ns4:_="">
    <xsd:import namespace="d4e34bb9-44fc-4c5c-9381-0d945942ec9d"/>
    <xsd:import namespace="b56933ad-6dd2-4ed4-a723-955a7addd4c1"/>
    <xsd:import namespace="02e959f2-c4b1-4c82-8ad2-fbdae0af7f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34bb9-44fc-4c5c-9381-0d945942e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97590d4-f9cd-4952-aa38-5a1111e36f0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6933ad-6dd2-4ed4-a723-955a7addd4c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e959f2-c4b1-4c82-8ad2-fbdae0af7fe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e1aabe1-cf61-4fb5-80f1-9801d426b91f}" ma:internalName="TaxCatchAll" ma:showField="CatchAllData" ma:web="b56933ad-6dd2-4ed4-a723-955a7addd4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e959f2-c4b1-4c82-8ad2-fbdae0af7fef" xsi:nil="true"/>
    <lcf76f155ced4ddcb4097134ff3c332f xmlns="d4e34bb9-44fc-4c5c-9381-0d945942ec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675F43-3E5B-4652-987D-E97CE8BF0785}"/>
</file>

<file path=customXml/itemProps2.xml><?xml version="1.0" encoding="utf-8"?>
<ds:datastoreItem xmlns:ds="http://schemas.openxmlformats.org/officeDocument/2006/customXml" ds:itemID="{FDC10A8C-CE37-49DB-B47C-582D7A9ED765}"/>
</file>

<file path=customXml/itemProps3.xml><?xml version="1.0" encoding="utf-8"?>
<ds:datastoreItem xmlns:ds="http://schemas.openxmlformats.org/officeDocument/2006/customXml" ds:itemID="{8B464102-4691-4ADB-85E3-72D9F6248502}"/>
</file>

<file path=docProps/app.xml><?xml version="1.0" encoding="utf-8"?>
<Properties xmlns="http://schemas.openxmlformats.org/officeDocument/2006/extended-properties" xmlns:vt="http://schemas.openxmlformats.org/officeDocument/2006/docPropsVTypes">
  <Template>tf03200096.dotx</Template>
  <TotalTime>0</TotalTime>
  <Pages>5</Pages>
  <Words>789</Words>
  <Characters>4502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Sutherland</dc:creator>
  <cp:keywords/>
  <cp:lastModifiedBy>cici@glenbrook.com</cp:lastModifiedBy>
  <cp:revision>2</cp:revision>
  <cp:lastPrinted>2021-02-18T18:35:00Z</cp:lastPrinted>
  <dcterms:created xsi:type="dcterms:W3CDTF">2021-02-24T17:25:00Z</dcterms:created>
  <dcterms:modified xsi:type="dcterms:W3CDTF">2021-02-24T17:25:00Z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y fmtid="{D5CDD505-2E9C-101B-9397-08002B2CF9AE}" pid="3" name="ContentTypeId">
    <vt:lpwstr>0x0101002CD321EB67C22E438360ADA3089EAF63</vt:lpwstr>
  </property>
</Properties>
</file>